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E6" w:rsidRPr="001C7012" w:rsidRDefault="00BE4C93" w:rsidP="00C434E6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7012">
        <w:rPr>
          <w:rFonts w:ascii="Times New Roman" w:hAnsi="Times New Roman" w:cs="Times New Roman"/>
          <w:b/>
          <w:sz w:val="28"/>
        </w:rPr>
        <w:t xml:space="preserve">Обзор изменений </w:t>
      </w:r>
    </w:p>
    <w:p w:rsidR="00004C8D" w:rsidRPr="001C7012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C8D" w:rsidRPr="001C7012" w:rsidRDefault="001E0CCB" w:rsidP="00A40C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012">
        <w:rPr>
          <w:rFonts w:ascii="Times New Roman" w:hAnsi="Times New Roman" w:cs="Times New Roman"/>
          <w:b/>
        </w:rPr>
        <w:t>1</w:t>
      </w:r>
      <w:r w:rsidR="00004C8D" w:rsidRPr="001C7012">
        <w:rPr>
          <w:rFonts w:ascii="Times New Roman" w:hAnsi="Times New Roman" w:cs="Times New Roman"/>
          <w:b/>
        </w:rPr>
        <w:t>. Положение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  <w:r w:rsidR="00204181">
        <w:rPr>
          <w:rFonts w:ascii="Times New Roman" w:hAnsi="Times New Roman" w:cs="Times New Roman"/>
          <w:b/>
        </w:rPr>
        <w:t xml:space="preserve"> </w:t>
      </w:r>
      <w:r w:rsidR="001C7012">
        <w:rPr>
          <w:rFonts w:ascii="Times New Roman" w:hAnsi="Times New Roman" w:cs="Times New Roman"/>
          <w:b/>
        </w:rPr>
        <w:t>(далее – «Положение о членстве»)</w:t>
      </w:r>
      <w:r w:rsidR="004E3563">
        <w:rPr>
          <w:rFonts w:ascii="Times New Roman" w:hAnsi="Times New Roman" w:cs="Times New Roman"/>
          <w:b/>
        </w:rPr>
        <w:t>:</w:t>
      </w:r>
    </w:p>
    <w:p w:rsidR="00004C8D" w:rsidRPr="001C7012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1C7012" w:rsidRPr="001C7012" w:rsidTr="00204181">
        <w:tc>
          <w:tcPr>
            <w:tcW w:w="5281" w:type="dxa"/>
            <w:shd w:val="pct50" w:color="4F81BD" w:themeColor="accent1" w:fill="auto"/>
            <w:vAlign w:val="center"/>
          </w:tcPr>
          <w:p w:rsidR="001C7012" w:rsidRPr="009D095D" w:rsidRDefault="001C7012" w:rsidP="00C434E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от 12.03.2020</w:t>
            </w:r>
            <w:r w:rsidR="00B6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95D"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(действующая)</w:t>
            </w:r>
          </w:p>
        </w:tc>
        <w:tc>
          <w:tcPr>
            <w:tcW w:w="5282" w:type="dxa"/>
            <w:shd w:val="pct50" w:color="4F81BD" w:themeColor="accent1" w:fill="auto"/>
            <w:vAlign w:val="center"/>
          </w:tcPr>
          <w:p w:rsidR="001C7012" w:rsidRPr="009D095D" w:rsidRDefault="001C7012" w:rsidP="00C434E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от 30.08.2022</w:t>
            </w:r>
            <w:r w:rsidR="00B6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95D"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(предлагаемая)</w:t>
            </w:r>
          </w:p>
        </w:tc>
      </w:tr>
      <w:tr w:rsidR="009D095D" w:rsidRPr="001C7012" w:rsidTr="00DA57B6">
        <w:tc>
          <w:tcPr>
            <w:tcW w:w="10563" w:type="dxa"/>
            <w:gridSpan w:val="2"/>
          </w:tcPr>
          <w:p w:rsidR="009D095D" w:rsidRPr="001C7012" w:rsidRDefault="00A32C88" w:rsidP="009D095D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9D095D"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="009D09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095D"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членстве:</w:t>
            </w:r>
          </w:p>
        </w:tc>
      </w:tr>
      <w:tr w:rsidR="001C7012" w:rsidRPr="001C7012" w:rsidTr="001C7012">
        <w:tc>
          <w:tcPr>
            <w:tcW w:w="5281" w:type="dxa"/>
          </w:tcPr>
          <w:p w:rsidR="001C7012" w:rsidRDefault="00982E74" w:rsidP="00A40C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Специалисты по организации архитектурно-строительного проектирования, сведения о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заявляются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соответствия требованиям, должны состоять в должности главного архитектора проекта или главного инженера проекта, если иное не установлено законодательством Российской Федерации или Положением. К должностным обязанностям таких специалистов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относится:</w:t>
            </w:r>
          </w:p>
          <w:p w:rsidR="00982E74" w:rsidRDefault="00982E74" w:rsidP="00A40C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6418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заданий на подготовку проектной документации объекта капитального строительства;</w:t>
            </w:r>
          </w:p>
          <w:p w:rsidR="00E96418" w:rsidRDefault="00E96418" w:rsidP="00A40C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      </w:r>
          </w:p>
          <w:p w:rsidR="00E96418" w:rsidRDefault="00E96418" w:rsidP="00A40C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представление, согласование и приемка результатов работ по подготовке проектной документации;</w:t>
            </w:r>
          </w:p>
          <w:p w:rsidR="00E96418" w:rsidRPr="001C7012" w:rsidRDefault="00E96418" w:rsidP="00A40C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результатов проектной документации.</w:t>
            </w:r>
          </w:p>
        </w:tc>
        <w:tc>
          <w:tcPr>
            <w:tcW w:w="5282" w:type="dxa"/>
          </w:tcPr>
          <w:p w:rsidR="00F03CA0" w:rsidRDefault="00982E74" w:rsidP="00F03CA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организации архитектурно-строительного проектирования, сведения о которых заявляются для подтверждения соответствия требованиям,</w:t>
            </w:r>
            <w:r w:rsidR="00F03CA0">
              <w:rPr>
                <w:rFonts w:ascii="Times New Roman" w:hAnsi="Times New Roman" w:cs="Times New Roman"/>
                <w:sz w:val="24"/>
                <w:szCs w:val="24"/>
              </w:rPr>
              <w:t xml:space="preserve"> должны являться физическими лицами, которые имеют право осуществлять по трудовому договору, заключенному с  индивидуальным предпринимателем или юридическим лицом, трудовые функции по организации выполнения работ по подготовке проектной документации, в том числе в должности главного инженера проекта, главного архитектора проекта.</w:t>
            </w:r>
            <w:proofErr w:type="gramEnd"/>
            <w:r w:rsidR="00F03CA0">
              <w:rPr>
                <w:rFonts w:ascii="Times New Roman" w:hAnsi="Times New Roman" w:cs="Times New Roman"/>
                <w:sz w:val="24"/>
                <w:szCs w:val="24"/>
              </w:rPr>
              <w:t xml:space="preserve"> К должностным обязанностям таких </w:t>
            </w:r>
            <w:proofErr w:type="gramStart"/>
            <w:r w:rsidR="00F03CA0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 w:rsidR="00F03CA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должны относиться:</w:t>
            </w:r>
          </w:p>
          <w:p w:rsidR="00F03CA0" w:rsidRDefault="00F03CA0" w:rsidP="00F03CA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заданий на проектирование объекта капитального строительства;</w:t>
            </w:r>
          </w:p>
          <w:p w:rsidR="00F03CA0" w:rsidRDefault="00F03CA0" w:rsidP="00F03CA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представление, согласование и приемка результатов работ по подготовке проектной документации;</w:t>
            </w:r>
          </w:p>
          <w:p w:rsidR="001C7012" w:rsidRPr="001C7012" w:rsidRDefault="00F03CA0" w:rsidP="00E5335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документации.   </w:t>
            </w:r>
          </w:p>
        </w:tc>
      </w:tr>
      <w:tr w:rsidR="007D208D" w:rsidRPr="001C7012" w:rsidTr="00CC6C11">
        <w:tc>
          <w:tcPr>
            <w:tcW w:w="10563" w:type="dxa"/>
            <w:gridSpan w:val="2"/>
          </w:tcPr>
          <w:p w:rsidR="007D208D" w:rsidRPr="001C7012" w:rsidRDefault="007D208D" w:rsidP="00A32C88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членстве:</w:t>
            </w:r>
          </w:p>
        </w:tc>
      </w:tr>
      <w:tr w:rsidR="001C7012" w:rsidRPr="001C7012" w:rsidTr="001C7012">
        <w:tc>
          <w:tcPr>
            <w:tcW w:w="5281" w:type="dxa"/>
          </w:tcPr>
          <w:p w:rsidR="001C7012" w:rsidRPr="001C7012" w:rsidRDefault="007D208D" w:rsidP="00A40C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Регулярный членский взнос является ежегодным и уплачивается за каждый отчётный период – календарный год,  в котором плательщик взносов являлся членом Ассоциации, если иное не установлено Положением.</w:t>
            </w:r>
          </w:p>
        </w:tc>
        <w:tc>
          <w:tcPr>
            <w:tcW w:w="5282" w:type="dxa"/>
          </w:tcPr>
          <w:p w:rsidR="001C7012" w:rsidRPr="001C7012" w:rsidRDefault="007D208D" w:rsidP="00482B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 Регулярный членский взнос является ежегодным и уплачивается </w:t>
            </w:r>
            <w:r w:rsidR="00482B8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482B8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календарный год, в котором плательщик</w:t>
            </w:r>
            <w:r w:rsidR="00482B83">
              <w:rPr>
                <w:rFonts w:ascii="Times New Roman" w:hAnsi="Times New Roman" w:cs="Times New Roman"/>
                <w:sz w:val="24"/>
                <w:szCs w:val="24"/>
              </w:rPr>
              <w:t xml:space="preserve">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B8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членом Ассоциации, если иное не установлено Положением. </w:t>
            </w:r>
          </w:p>
        </w:tc>
      </w:tr>
      <w:tr w:rsidR="00A4673D" w:rsidRPr="001C7012" w:rsidTr="00821E58">
        <w:tc>
          <w:tcPr>
            <w:tcW w:w="10563" w:type="dxa"/>
            <w:gridSpan w:val="2"/>
          </w:tcPr>
          <w:p w:rsidR="00A4673D" w:rsidRPr="001C7012" w:rsidRDefault="00A32C88" w:rsidP="00CC12B5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A4673D"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7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4673D"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67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C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7.9</w:t>
            </w:r>
            <w:r w:rsidR="00A4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73D"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членстве:</w:t>
            </w:r>
          </w:p>
        </w:tc>
      </w:tr>
      <w:tr w:rsidR="001C7012" w:rsidRPr="001C7012" w:rsidTr="001C7012">
        <w:tc>
          <w:tcPr>
            <w:tcW w:w="5281" w:type="dxa"/>
          </w:tcPr>
          <w:p w:rsidR="001C7012" w:rsidRPr="00A32C88" w:rsidRDefault="00A32C88" w:rsidP="00A40C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.8. </w:t>
            </w:r>
            <w:r w:rsidRPr="00A32C88">
              <w:rPr>
                <w:rFonts w:ascii="Times New Roman" w:hAnsi="Times New Roman" w:cs="Times New Roman"/>
                <w:sz w:val="24"/>
                <w:szCs w:val="24"/>
              </w:rPr>
              <w:t xml:space="preserve">Размер регулярного членского взноса исчисляется плательщиком взносов по правилам, установленным Положением, на основании сведений, представленных в Ассоциацию плательщиком взносов. Сведения, необходимые для исчисления размера регулярного членского взноса должны быть представлены плательщиком взноса в форме письменного отчета не позднее первого марта отчетного года, если иное не предусмотрено </w:t>
            </w:r>
            <w:r w:rsidRPr="00A3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1C7012" w:rsidRDefault="00A32C88" w:rsidP="00A32C8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 Размер регулярного членского взноса исчисляется плательщиком взносов по правилам, установленным Положением, на основании:</w:t>
            </w:r>
          </w:p>
          <w:p w:rsidR="00A32C88" w:rsidRDefault="00A32C88" w:rsidP="00A32C8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вида деятельности в сфере проектирования;</w:t>
            </w:r>
          </w:p>
          <w:p w:rsidR="00A32C88" w:rsidRDefault="00A32C88" w:rsidP="00A32C8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уровня ответственности по обязательствам, в соответствии с которым членом Ассоциации внесен взнос в компенсационный фонд возмещения вреда;</w:t>
            </w:r>
          </w:p>
          <w:p w:rsidR="00A32C88" w:rsidRDefault="00A32C88" w:rsidP="00A32C8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уровня </w:t>
            </w:r>
            <w:r w:rsidR="00CC12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по обязательствам, в соответствии с которым членом Ассоциации </w:t>
            </w:r>
            <w:r w:rsidR="00CC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 взнос в компенсационный фонд обеспечения договорных обязательств, а также иных сведений, представленных в Ассоциацию плательщиком взносов.</w:t>
            </w:r>
          </w:p>
          <w:p w:rsidR="00CC12B5" w:rsidRPr="001C7012" w:rsidRDefault="00CC12B5" w:rsidP="00A32C8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 Сведения, необходимые для исчисления размера регулярного членского взноса должны быть представлены плательщиком взноса в форме письменного отчета, утверждаемой Ассоциацией</w:t>
            </w:r>
            <w:r w:rsidR="00826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первого марта текущего года, если иное не предусмотрено Положением.</w:t>
            </w:r>
          </w:p>
        </w:tc>
      </w:tr>
      <w:tr w:rsidR="00CC12B5" w:rsidRPr="001C7012" w:rsidTr="00B261CC">
        <w:tc>
          <w:tcPr>
            <w:tcW w:w="10563" w:type="dxa"/>
            <w:gridSpan w:val="2"/>
          </w:tcPr>
          <w:p w:rsidR="00CC12B5" w:rsidRPr="001C7012" w:rsidRDefault="00CC12B5" w:rsidP="00CC12B5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7.11-7.12 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членстве:</w:t>
            </w:r>
          </w:p>
        </w:tc>
      </w:tr>
      <w:tr w:rsidR="001C7012" w:rsidRPr="001C7012" w:rsidTr="001C7012">
        <w:tc>
          <w:tcPr>
            <w:tcW w:w="5281" w:type="dxa"/>
          </w:tcPr>
          <w:p w:rsidR="001C7012" w:rsidRPr="001C7012" w:rsidRDefault="00CC12B5" w:rsidP="00A40C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7.11. </w:t>
            </w:r>
            <w:r w:rsidRPr="00CC12B5">
              <w:rPr>
                <w:rFonts w:ascii="Times New Roman" w:hAnsi="Times New Roman" w:cs="Times New Roman"/>
                <w:sz w:val="24"/>
                <w:szCs w:val="24"/>
              </w:rPr>
              <w:t>Ассоциация вправе самостоятельно исчислить размер подлежащего уплате взноса в соответствии с Положением, в том числе при выявлении обстоятельств, свидетельствующих о недобросовестных действиях плательщика взносов в виде сообщения недостоверных сведений.</w:t>
            </w:r>
          </w:p>
        </w:tc>
        <w:tc>
          <w:tcPr>
            <w:tcW w:w="5282" w:type="dxa"/>
          </w:tcPr>
          <w:p w:rsidR="001C7012" w:rsidRPr="001C7012" w:rsidRDefault="00CC12B5" w:rsidP="00F524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  <w:r w:rsidRPr="00CC12B5">
              <w:rPr>
                <w:rFonts w:ascii="Times New Roman" w:hAnsi="Times New Roman" w:cs="Times New Roman"/>
                <w:sz w:val="24"/>
                <w:szCs w:val="24"/>
              </w:rPr>
              <w:tab/>
              <w:t>Ассоциация вправе самостоятельно исчислить размер подлежащего уплате взноса в соответствии с Положением, в том числе при выявлении обстоятельств, свидетельствующих о недобросовестных действиях плательщика взносов в виде сообщения недостоверных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несвоевременного предоставления сведений, необходимых для исчисления размера регулярного членского взноса.</w:t>
            </w:r>
          </w:p>
        </w:tc>
      </w:tr>
      <w:tr w:rsidR="009D0719" w:rsidRPr="001C7012" w:rsidTr="00FD49AD">
        <w:tc>
          <w:tcPr>
            <w:tcW w:w="10563" w:type="dxa"/>
            <w:gridSpan w:val="2"/>
          </w:tcPr>
          <w:p w:rsidR="009D0719" w:rsidRDefault="009D0719" w:rsidP="009D0719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7.15-7.16 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членстве:</w:t>
            </w:r>
          </w:p>
        </w:tc>
      </w:tr>
      <w:tr w:rsidR="009D0719" w:rsidRPr="001C7012" w:rsidTr="001C7012">
        <w:tc>
          <w:tcPr>
            <w:tcW w:w="5281" w:type="dxa"/>
          </w:tcPr>
          <w:p w:rsidR="009D0719" w:rsidRPr="009D0719" w:rsidRDefault="009D0719" w:rsidP="009D0719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0719">
              <w:rPr>
                <w:sz w:val="24"/>
                <w:szCs w:val="24"/>
              </w:rPr>
              <w:t xml:space="preserve">7.15. Взносы могут быть уплачены авансом за будущие периоды. Излишне уплаченные взносы не возвращаются и засчитываются в счет будущих периодов. Если членство плательщика взносов в Ассоциации было прекращено в течение </w:t>
            </w:r>
            <w:r>
              <w:rPr>
                <w:sz w:val="24"/>
                <w:szCs w:val="24"/>
              </w:rPr>
              <w:t>отчетного</w:t>
            </w:r>
            <w:r w:rsidRPr="009D0719">
              <w:rPr>
                <w:sz w:val="24"/>
                <w:szCs w:val="24"/>
              </w:rPr>
              <w:t xml:space="preserve"> года или ранее наступления периода, в счет которого были зачтены уплаченные взносы, уплаченные взносы обращаются в </w:t>
            </w:r>
            <w:r>
              <w:rPr>
                <w:sz w:val="24"/>
                <w:szCs w:val="24"/>
              </w:rPr>
              <w:t>доход</w:t>
            </w:r>
            <w:r w:rsidRPr="009D0719">
              <w:rPr>
                <w:sz w:val="24"/>
                <w:szCs w:val="24"/>
              </w:rPr>
              <w:t xml:space="preserve"> Ассоциации и не возвращаются плательщику.</w:t>
            </w:r>
          </w:p>
          <w:p w:rsidR="009D0719" w:rsidRPr="009D0719" w:rsidRDefault="009D0719" w:rsidP="00A40C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9D0719" w:rsidRPr="009D0719" w:rsidRDefault="009D0719" w:rsidP="009D0719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0719">
              <w:rPr>
                <w:sz w:val="24"/>
                <w:szCs w:val="24"/>
              </w:rPr>
              <w:t>7.16. Взносы могут быть уплачены авансом за будущие периоды. Излишне уплаченные взносы не возвращаются и засчитываются в счет будущих периодов. Если членство плательщика взносов в Ассоциации было прекращено в течение текущего года или ранее наступления периода, в счет которого были зачтены уплаченные взносы, уплаченные взносы обращаются в имущество Ассоциации и не возвращаются плательщику.</w:t>
            </w:r>
          </w:p>
          <w:p w:rsidR="009D0719" w:rsidRPr="009D0719" w:rsidRDefault="009D0719" w:rsidP="00F524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1" w:rsidRPr="001C7012" w:rsidTr="00FF2BE2">
        <w:tc>
          <w:tcPr>
            <w:tcW w:w="10563" w:type="dxa"/>
            <w:gridSpan w:val="2"/>
          </w:tcPr>
          <w:p w:rsidR="00782931" w:rsidRDefault="00782931" w:rsidP="0078293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1.6. Приложения 1 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членстве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(Правила исчисления регулярных членских взносов)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82931" w:rsidRPr="001C7012" w:rsidTr="00134B53">
        <w:tc>
          <w:tcPr>
            <w:tcW w:w="5281" w:type="dxa"/>
          </w:tcPr>
          <w:p w:rsidR="00782931" w:rsidRDefault="00782931" w:rsidP="007829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782931">
              <w:rPr>
                <w:rFonts w:ascii="Times New Roman" w:hAnsi="Times New Roman" w:cs="Times New Roman"/>
                <w:sz w:val="24"/>
                <w:szCs w:val="24"/>
              </w:rPr>
              <w:t>Размер членского взноса за год, в котором было принято решение о приеме плательщика взноса в члены Ассоциации уменьшается в зависимости от календарного квартала, в котором принято решение, в соответствии с Таблицей 2</w:t>
            </w:r>
          </w:p>
        </w:tc>
        <w:tc>
          <w:tcPr>
            <w:tcW w:w="5282" w:type="dxa"/>
          </w:tcPr>
          <w:p w:rsidR="00782931" w:rsidRDefault="00782931" w:rsidP="007829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31">
              <w:rPr>
                <w:rFonts w:ascii="Times New Roman" w:hAnsi="Times New Roman" w:cs="Times New Roman"/>
                <w:sz w:val="24"/>
                <w:szCs w:val="24"/>
              </w:rPr>
              <w:t>1.6. Исключить</w:t>
            </w:r>
          </w:p>
        </w:tc>
      </w:tr>
      <w:tr w:rsidR="00F13A0E" w:rsidRPr="001C7012" w:rsidTr="00FF2BE2">
        <w:tc>
          <w:tcPr>
            <w:tcW w:w="10563" w:type="dxa"/>
            <w:gridSpan w:val="2"/>
          </w:tcPr>
          <w:p w:rsidR="00F13A0E" w:rsidRPr="001C7012" w:rsidRDefault="00F13A0E" w:rsidP="00F13A0E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Приложения 2 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членстве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(Дополнительные правила исчисления размера, сроков и порядка уплаты членских взносов)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7012" w:rsidRPr="001C7012" w:rsidTr="001C7012">
        <w:tc>
          <w:tcPr>
            <w:tcW w:w="5281" w:type="dxa"/>
          </w:tcPr>
          <w:p w:rsidR="001C7012" w:rsidRPr="001C7012" w:rsidRDefault="00F13A0E" w:rsidP="00A40C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7600D" w:rsidRPr="00E7600D">
              <w:rPr>
                <w:rFonts w:ascii="Times New Roman" w:hAnsi="Times New Roman" w:cs="Times New Roman"/>
                <w:sz w:val="24"/>
                <w:szCs w:val="24"/>
              </w:rPr>
              <w:t xml:space="preserve">Члены Ассоциации вправе уплачивать регулярный членский взнос в течение отчетного года равными частями – ежеквартально или каждые шесть месяцев (за полугодие). Уплата взноса частями допускается, если член Ассоциации обратился в Ассоциацию с </w:t>
            </w:r>
            <w:r w:rsidR="00E7600D" w:rsidRPr="00E76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заявлением о соответствующем намерении не позднее 1 марта отчетного года, или до принятия решения о приеме в члены Ассоциации, если такое решение о приеме в члены принято в течение отчетного года.</w:t>
            </w:r>
          </w:p>
        </w:tc>
        <w:tc>
          <w:tcPr>
            <w:tcW w:w="5282" w:type="dxa"/>
          </w:tcPr>
          <w:p w:rsidR="001C7012" w:rsidRPr="001C7012" w:rsidRDefault="00E7600D" w:rsidP="00CB5AC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Члены Ассоциации вправе уплачивать регулярный членский взнос в течение текущего года равными частями – ежеквартально или каждые шесть месяцев (за полугодие), если иное не установлен Положением. Уплата взноса частями допускается, если член Ассоциации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обратился в Ассоциацию с заявлением о соответствующем намерении</w:t>
            </w:r>
            <w:r w:rsidR="00CB5AC2" w:rsidRPr="00E7600D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марта </w:t>
            </w:r>
            <w:r w:rsidR="00CB5AC2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CB5AC2" w:rsidRPr="00E7600D">
              <w:rPr>
                <w:rFonts w:ascii="Times New Roman" w:hAnsi="Times New Roman" w:cs="Times New Roman"/>
                <w:sz w:val="24"/>
                <w:szCs w:val="24"/>
              </w:rPr>
              <w:t xml:space="preserve"> года, или до принятия решения о приеме в члены Ассоциации, если такое решение о приеме в члены п</w:t>
            </w:r>
            <w:r w:rsidR="00CB5AC2">
              <w:rPr>
                <w:rFonts w:ascii="Times New Roman" w:hAnsi="Times New Roman" w:cs="Times New Roman"/>
                <w:sz w:val="24"/>
                <w:szCs w:val="24"/>
              </w:rPr>
              <w:t>ринято в течение текущего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7012" w:rsidRPr="001C7012" w:rsidRDefault="001C7012" w:rsidP="00A40C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C7012" w:rsidRPr="00B94903" w:rsidRDefault="007F6FBF" w:rsidP="001C70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C7012" w:rsidRPr="001C7012">
        <w:rPr>
          <w:rFonts w:ascii="Times New Roman" w:hAnsi="Times New Roman" w:cs="Times New Roman"/>
          <w:b/>
        </w:rPr>
        <w:t xml:space="preserve">. Положение о </w:t>
      </w:r>
      <w:r>
        <w:rPr>
          <w:rFonts w:ascii="Times New Roman" w:hAnsi="Times New Roman" w:cs="Times New Roman"/>
          <w:b/>
        </w:rPr>
        <w:t>реестре членов Ассоциации</w:t>
      </w:r>
      <w:r w:rsidR="001C7012" w:rsidRPr="001C7012">
        <w:rPr>
          <w:rFonts w:ascii="Times New Roman" w:hAnsi="Times New Roman" w:cs="Times New Roman"/>
          <w:b/>
        </w:rPr>
        <w:t xml:space="preserve"> СРО «</w:t>
      </w:r>
      <w:proofErr w:type="spellStart"/>
      <w:r w:rsidR="001C7012" w:rsidRPr="001C7012">
        <w:rPr>
          <w:rFonts w:ascii="Times New Roman" w:hAnsi="Times New Roman" w:cs="Times New Roman"/>
          <w:b/>
        </w:rPr>
        <w:t>Нефтегазпроект</w:t>
      </w:r>
      <w:proofErr w:type="spellEnd"/>
      <w:r w:rsidR="001C7012" w:rsidRPr="001C7012">
        <w:rPr>
          <w:rFonts w:ascii="Times New Roman" w:hAnsi="Times New Roman" w:cs="Times New Roman"/>
          <w:b/>
        </w:rPr>
        <w:t>-Альянс»</w:t>
      </w:r>
      <w:r w:rsidR="00B94903" w:rsidRPr="00B94903">
        <w:rPr>
          <w:rFonts w:ascii="Times New Roman" w:hAnsi="Times New Roman" w:cs="Times New Roman"/>
          <w:b/>
        </w:rPr>
        <w:t xml:space="preserve"> (</w:t>
      </w:r>
      <w:r w:rsidR="00B94903">
        <w:rPr>
          <w:rFonts w:ascii="Times New Roman" w:hAnsi="Times New Roman" w:cs="Times New Roman"/>
          <w:b/>
        </w:rPr>
        <w:t>далее – «Положение о реестре»</w:t>
      </w:r>
      <w:r w:rsidR="00B94903" w:rsidRPr="00B94903">
        <w:rPr>
          <w:rFonts w:ascii="Times New Roman" w:hAnsi="Times New Roman" w:cs="Times New Roman"/>
          <w:b/>
        </w:rPr>
        <w:t>)</w:t>
      </w:r>
      <w:r w:rsidR="004E3563">
        <w:rPr>
          <w:rFonts w:ascii="Times New Roman" w:hAnsi="Times New Roman" w:cs="Times New Roman"/>
          <w:b/>
        </w:rPr>
        <w:t>:</w:t>
      </w:r>
    </w:p>
    <w:p w:rsidR="007F6FBF" w:rsidRPr="001C7012" w:rsidRDefault="007F6FBF" w:rsidP="001C70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F6FBF" w:rsidRPr="001C7012" w:rsidTr="009A0303">
        <w:tc>
          <w:tcPr>
            <w:tcW w:w="5281" w:type="dxa"/>
            <w:shd w:val="pct50" w:color="4F81BD" w:themeColor="accent1" w:fill="auto"/>
            <w:vAlign w:val="center"/>
          </w:tcPr>
          <w:p w:rsidR="007F6FBF" w:rsidRPr="009D095D" w:rsidRDefault="007F6FBF" w:rsidP="00E65528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Редакция от </w:t>
            </w:r>
            <w:r w:rsidR="00E6552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.03.20</w:t>
            </w:r>
            <w:r w:rsidR="00E655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(действующая)</w:t>
            </w:r>
          </w:p>
        </w:tc>
        <w:tc>
          <w:tcPr>
            <w:tcW w:w="5282" w:type="dxa"/>
            <w:shd w:val="pct50" w:color="4F81BD" w:themeColor="accent1" w:fill="auto"/>
            <w:vAlign w:val="center"/>
          </w:tcPr>
          <w:p w:rsidR="007F6FBF" w:rsidRPr="009D095D" w:rsidRDefault="007F6FBF" w:rsidP="009A0303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от 30.08.2022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(предлагаемая)</w:t>
            </w:r>
          </w:p>
        </w:tc>
      </w:tr>
      <w:tr w:rsidR="007F6FBF" w:rsidRPr="001C7012" w:rsidTr="009A0303">
        <w:tc>
          <w:tcPr>
            <w:tcW w:w="10563" w:type="dxa"/>
            <w:gridSpan w:val="2"/>
            <w:vAlign w:val="center"/>
          </w:tcPr>
          <w:p w:rsidR="007F6FBF" w:rsidRPr="001C7012" w:rsidRDefault="007F6FBF" w:rsidP="00B94903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="00B94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9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</w:t>
            </w:r>
            <w:r w:rsidR="00B94903">
              <w:rPr>
                <w:rFonts w:ascii="Times New Roman" w:hAnsi="Times New Roman" w:cs="Times New Roman"/>
                <w:b/>
                <w:sz w:val="24"/>
                <w:szCs w:val="24"/>
              </w:rPr>
              <w:t>реестр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</w:p>
        </w:tc>
      </w:tr>
      <w:tr w:rsidR="007F6FBF" w:rsidRPr="001C7012" w:rsidTr="009A0303">
        <w:tc>
          <w:tcPr>
            <w:tcW w:w="5281" w:type="dxa"/>
          </w:tcPr>
          <w:p w:rsidR="007F6FBF" w:rsidRPr="001C7012" w:rsidRDefault="00B94903" w:rsidP="00B949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B94903">
              <w:rPr>
                <w:rFonts w:ascii="Times New Roman" w:hAnsi="Times New Roman" w:cs="Times New Roman"/>
                <w:sz w:val="24"/>
                <w:szCs w:val="24"/>
              </w:rPr>
              <w:t>Реестр членов Ассоциации ведется в электронном виде и, при необходимости, на бумажном носителе. Ведение реестра членов Ассоциации может осуществляться в составе единого реестра членов саморегулируемых организаций при условии размещения Ассоциацией такого реестра на своем официальном сайте в сети "Интернет".</w:t>
            </w:r>
          </w:p>
        </w:tc>
        <w:tc>
          <w:tcPr>
            <w:tcW w:w="5282" w:type="dxa"/>
          </w:tcPr>
          <w:p w:rsidR="007F6FBF" w:rsidRPr="001C7012" w:rsidRDefault="00B94903" w:rsidP="0017645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Реестр членов Ассоциации ведется в электронном виде. </w:t>
            </w:r>
            <w:r w:rsidR="00096E18">
              <w:rPr>
                <w:rFonts w:ascii="Times New Roman" w:hAnsi="Times New Roman" w:cs="Times New Roman"/>
                <w:sz w:val="24"/>
                <w:szCs w:val="24"/>
              </w:rPr>
              <w:t>Одновременно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реестра членов Ассоциации осуществляется в составе единого реестра сведений о членах саморегулируемых организаций и их обязательствах</w:t>
            </w:r>
            <w:r w:rsidR="00D62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3D">
              <w:rPr>
                <w:rFonts w:ascii="Times New Roman" w:hAnsi="Times New Roman" w:cs="Times New Roman"/>
                <w:sz w:val="24"/>
                <w:szCs w:val="24"/>
              </w:rPr>
              <w:t>Реестр членов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3D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Ассоциацией</w:t>
            </w:r>
            <w:r w:rsidR="002448A9">
              <w:rPr>
                <w:rFonts w:ascii="Times New Roman" w:hAnsi="Times New Roman" w:cs="Times New Roman"/>
                <w:sz w:val="24"/>
                <w:szCs w:val="24"/>
              </w:rPr>
              <w:t xml:space="preserve"> на своем официальном сайте в сети «Интернет».</w:t>
            </w:r>
            <w:r w:rsidR="007F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78B" w:rsidRPr="001C7012" w:rsidTr="009A0303">
        <w:tc>
          <w:tcPr>
            <w:tcW w:w="10563" w:type="dxa"/>
            <w:gridSpan w:val="2"/>
          </w:tcPr>
          <w:p w:rsidR="0061678B" w:rsidRPr="00C434E6" w:rsidRDefault="0061678B" w:rsidP="0061678B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1678B" w:rsidRPr="001C7012" w:rsidTr="001A65A8">
        <w:tc>
          <w:tcPr>
            <w:tcW w:w="5281" w:type="dxa"/>
          </w:tcPr>
          <w:p w:rsidR="0061678B" w:rsidRPr="00C434E6" w:rsidRDefault="0061678B" w:rsidP="0061678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B">
              <w:rPr>
                <w:rFonts w:ascii="Times New Roman" w:hAnsi="Times New Roman" w:cs="Times New Roman"/>
                <w:sz w:val="24"/>
                <w:szCs w:val="24"/>
              </w:rPr>
              <w:t>сведения о наличии у члена Ассоциации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</w:t>
            </w:r>
          </w:p>
        </w:tc>
        <w:tc>
          <w:tcPr>
            <w:tcW w:w="5282" w:type="dxa"/>
          </w:tcPr>
          <w:p w:rsidR="0061678B" w:rsidRPr="00C434E6" w:rsidRDefault="0061678B" w:rsidP="003065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8B">
              <w:rPr>
                <w:rFonts w:ascii="Times New Roman" w:hAnsi="Times New Roman" w:cs="Times New Roman"/>
                <w:sz w:val="24"/>
                <w:szCs w:val="24"/>
              </w:rPr>
              <w:t>сведения о наличии у члена Ассоциации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уплаты взноса (дополнительного взноса) в компенсационный фонд обеспечения договорных обязательств, дата приостановления права осуществлять подготовку проектной документации;</w:t>
            </w:r>
          </w:p>
        </w:tc>
      </w:tr>
      <w:tr w:rsidR="007F6FBF" w:rsidRPr="001C7012" w:rsidTr="009A0303">
        <w:tc>
          <w:tcPr>
            <w:tcW w:w="10563" w:type="dxa"/>
            <w:gridSpan w:val="2"/>
          </w:tcPr>
          <w:p w:rsidR="007F6FBF" w:rsidRPr="001C7012" w:rsidRDefault="007F6FBF" w:rsidP="0061678B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</w:t>
            </w:r>
            <w:r w:rsidR="0061678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</w:t>
            </w:r>
            <w:r w:rsidR="005F42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42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</w:t>
            </w:r>
            <w:r w:rsidR="005F42AE"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F6FBF" w:rsidRPr="001C7012" w:rsidTr="009A0303">
        <w:tc>
          <w:tcPr>
            <w:tcW w:w="5281" w:type="dxa"/>
          </w:tcPr>
          <w:p w:rsidR="007F6FBF" w:rsidRPr="001C7012" w:rsidRDefault="005B1FCC" w:rsidP="009A03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282" w:type="dxa"/>
          </w:tcPr>
          <w:p w:rsidR="007F6FBF" w:rsidRPr="001C7012" w:rsidRDefault="005B1FCC" w:rsidP="009A03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у члена Ассоциации права осуществлять подготовку проектной документации особо опасных, технически сложных и уникальных объектов</w:t>
            </w:r>
            <w:r w:rsidR="00E34F4F">
              <w:rPr>
                <w:rFonts w:ascii="Times New Roman" w:hAnsi="Times New Roman" w:cs="Times New Roman"/>
                <w:sz w:val="24"/>
                <w:szCs w:val="24"/>
              </w:rPr>
              <w:t>, кроме объе</w:t>
            </w:r>
            <w:r w:rsidR="0061678B">
              <w:rPr>
                <w:rFonts w:ascii="Times New Roman" w:hAnsi="Times New Roman" w:cs="Times New Roman"/>
                <w:sz w:val="24"/>
                <w:szCs w:val="24"/>
              </w:rPr>
              <w:t>ктов использования атомной энерг</w:t>
            </w:r>
            <w:r w:rsidR="00E34F4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7F6FBF" w:rsidRPr="001C7012" w:rsidTr="009A0303">
        <w:tc>
          <w:tcPr>
            <w:tcW w:w="10563" w:type="dxa"/>
            <w:gridSpan w:val="2"/>
          </w:tcPr>
          <w:p w:rsidR="007F6FBF" w:rsidRPr="001C7012" w:rsidRDefault="005B1FCC" w:rsidP="005F5243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</w:t>
            </w:r>
            <w:r w:rsidR="005F524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F6FBF" w:rsidRPr="001C7012" w:rsidTr="009A0303">
        <w:tc>
          <w:tcPr>
            <w:tcW w:w="5281" w:type="dxa"/>
          </w:tcPr>
          <w:p w:rsidR="007F6FBF" w:rsidRPr="001C7012" w:rsidRDefault="005F5243" w:rsidP="009A03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282" w:type="dxa"/>
          </w:tcPr>
          <w:p w:rsidR="007F6FBF" w:rsidRPr="001C7012" w:rsidRDefault="007F6FBF" w:rsidP="009A03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243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у члена Ассоциации права осуществлять</w:t>
            </w:r>
            <w:r w:rsidR="00266CC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проектной документации объектов использования атомной энергии</w:t>
            </w:r>
          </w:p>
        </w:tc>
      </w:tr>
      <w:tr w:rsidR="00481F96" w:rsidRPr="001C7012" w:rsidTr="00CD4C3E">
        <w:tc>
          <w:tcPr>
            <w:tcW w:w="10563" w:type="dxa"/>
            <w:gridSpan w:val="2"/>
          </w:tcPr>
          <w:p w:rsidR="00481F96" w:rsidRDefault="00481F96" w:rsidP="00481F9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81F96" w:rsidRPr="001C7012" w:rsidTr="009A0303">
        <w:tc>
          <w:tcPr>
            <w:tcW w:w="5281" w:type="dxa"/>
          </w:tcPr>
          <w:p w:rsidR="00481F96" w:rsidRDefault="00481F96" w:rsidP="009A03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282" w:type="dxa"/>
          </w:tcPr>
          <w:p w:rsidR="00481F96" w:rsidRDefault="00481F96" w:rsidP="00481F9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чл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ена Ассоциации по договорам подряда на подготовку проектной документации, заключенным с использованием конкурентных способов</w:t>
            </w:r>
          </w:p>
        </w:tc>
      </w:tr>
      <w:tr w:rsidR="008A0C27" w:rsidRPr="001C7012" w:rsidTr="008A7DDE">
        <w:tc>
          <w:tcPr>
            <w:tcW w:w="10563" w:type="dxa"/>
            <w:gridSpan w:val="2"/>
          </w:tcPr>
          <w:p w:rsidR="008A0C27" w:rsidRDefault="008A0C27" w:rsidP="008A0C2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81F96" w:rsidRPr="001C7012" w:rsidTr="009A0303">
        <w:tc>
          <w:tcPr>
            <w:tcW w:w="5281" w:type="dxa"/>
          </w:tcPr>
          <w:p w:rsidR="00481F96" w:rsidRDefault="008A0C27" w:rsidP="008A0C2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8A0C27">
              <w:rPr>
                <w:rFonts w:ascii="Times New Roman" w:hAnsi="Times New Roman" w:cs="Times New Roman"/>
                <w:sz w:val="24"/>
                <w:szCs w:val="24"/>
              </w:rPr>
              <w:t>Ассоциация обязана предоставить по запросу заинтересованного лица выписку из реестра членов Ассоциации срок не более чем три рабочих дня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27">
              <w:rPr>
                <w:rFonts w:ascii="Times New Roman" w:hAnsi="Times New Roman" w:cs="Times New Roman"/>
                <w:sz w:val="24"/>
                <w:szCs w:val="24"/>
              </w:rPr>
              <w:t xml:space="preserve">дня поступления указанного запроса. Срок действия выписки из реестра членов Ассоциации составляет один месяц </w:t>
            </w:r>
            <w:proofErr w:type="gramStart"/>
            <w:r w:rsidRPr="008A0C27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8A0C27">
              <w:rPr>
                <w:rFonts w:ascii="Times New Roman" w:hAnsi="Times New Roman" w:cs="Times New Roman"/>
                <w:sz w:val="24"/>
                <w:szCs w:val="24"/>
              </w:rPr>
              <w:t xml:space="preserve"> ее выдачи</w:t>
            </w:r>
          </w:p>
        </w:tc>
        <w:tc>
          <w:tcPr>
            <w:tcW w:w="5282" w:type="dxa"/>
          </w:tcPr>
          <w:p w:rsidR="0030651F" w:rsidRDefault="0030651F" w:rsidP="003065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8A0C2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вправе</w:t>
            </w:r>
            <w:r w:rsidRPr="008A0C2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по запросу заинтересованного лица выписку из реестра членов Ассоциации срок не более чем три рабочих дня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27">
              <w:rPr>
                <w:rFonts w:ascii="Times New Roman" w:hAnsi="Times New Roman" w:cs="Times New Roman"/>
                <w:sz w:val="24"/>
                <w:szCs w:val="24"/>
              </w:rPr>
              <w:t>дня поступления указанного запроса.</w:t>
            </w:r>
          </w:p>
        </w:tc>
      </w:tr>
    </w:tbl>
    <w:p w:rsidR="00004C8D" w:rsidRPr="001C7012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012" w:rsidRPr="001C7012" w:rsidRDefault="001C7012" w:rsidP="001C70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12" w:rsidRPr="001C7012" w:rsidRDefault="00011001" w:rsidP="001C70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C7012" w:rsidRPr="001C7012">
        <w:rPr>
          <w:rFonts w:ascii="Times New Roman" w:hAnsi="Times New Roman" w:cs="Times New Roman"/>
          <w:b/>
        </w:rPr>
        <w:t xml:space="preserve">. Положение о </w:t>
      </w:r>
      <w:r w:rsidR="005C4328">
        <w:rPr>
          <w:rFonts w:ascii="Times New Roman" w:hAnsi="Times New Roman" w:cs="Times New Roman"/>
          <w:b/>
        </w:rPr>
        <w:t>Совете</w:t>
      </w:r>
      <w:r w:rsidR="004E3563">
        <w:rPr>
          <w:rFonts w:ascii="Times New Roman" w:hAnsi="Times New Roman" w:cs="Times New Roman"/>
          <w:b/>
        </w:rPr>
        <w:t xml:space="preserve"> </w:t>
      </w:r>
      <w:r w:rsidR="00D27ED9">
        <w:rPr>
          <w:rFonts w:ascii="Times New Roman" w:hAnsi="Times New Roman" w:cs="Times New Roman"/>
          <w:b/>
        </w:rPr>
        <w:t>Ассоциации</w:t>
      </w:r>
      <w:r w:rsidR="001C7012" w:rsidRPr="001C7012">
        <w:rPr>
          <w:rFonts w:ascii="Times New Roman" w:hAnsi="Times New Roman" w:cs="Times New Roman"/>
          <w:b/>
        </w:rPr>
        <w:t xml:space="preserve"> СРО «</w:t>
      </w:r>
      <w:proofErr w:type="spellStart"/>
      <w:r w:rsidR="001C7012" w:rsidRPr="001C7012">
        <w:rPr>
          <w:rFonts w:ascii="Times New Roman" w:hAnsi="Times New Roman" w:cs="Times New Roman"/>
          <w:b/>
        </w:rPr>
        <w:t>Нефтегазпроект</w:t>
      </w:r>
      <w:proofErr w:type="spellEnd"/>
      <w:r w:rsidR="001C7012" w:rsidRPr="001C7012">
        <w:rPr>
          <w:rFonts w:ascii="Times New Roman" w:hAnsi="Times New Roman" w:cs="Times New Roman"/>
          <w:b/>
        </w:rPr>
        <w:t>-Альянс»</w:t>
      </w:r>
      <w:r w:rsidR="004E3563">
        <w:rPr>
          <w:rFonts w:ascii="Times New Roman" w:hAnsi="Times New Roman" w:cs="Times New Roman"/>
          <w:b/>
        </w:rPr>
        <w:t xml:space="preserve"> (далее – «Положение о Совете»):</w:t>
      </w:r>
    </w:p>
    <w:p w:rsidR="001C7012" w:rsidRPr="001C7012" w:rsidRDefault="001C7012" w:rsidP="001C70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5C4328" w:rsidRPr="001C7012" w:rsidTr="009A0303">
        <w:tc>
          <w:tcPr>
            <w:tcW w:w="5281" w:type="dxa"/>
            <w:shd w:val="pct50" w:color="4F81BD" w:themeColor="accent1" w:fill="auto"/>
            <w:vAlign w:val="center"/>
          </w:tcPr>
          <w:p w:rsidR="005C4328" w:rsidRPr="009D095D" w:rsidRDefault="005C4328" w:rsidP="002C299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29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299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29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(действующая)</w:t>
            </w:r>
          </w:p>
        </w:tc>
        <w:tc>
          <w:tcPr>
            <w:tcW w:w="5282" w:type="dxa"/>
            <w:shd w:val="pct50" w:color="4F81BD" w:themeColor="accent1" w:fill="auto"/>
            <w:vAlign w:val="center"/>
          </w:tcPr>
          <w:p w:rsidR="005C4328" w:rsidRPr="009D095D" w:rsidRDefault="005C4328" w:rsidP="009A0303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от 30.08.2022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95D">
              <w:rPr>
                <w:rFonts w:ascii="Times New Roman" w:hAnsi="Times New Roman" w:cs="Times New Roman"/>
                <w:b/>
                <w:sz w:val="24"/>
                <w:szCs w:val="24"/>
              </w:rPr>
              <w:t>(предлагаемая)</w:t>
            </w:r>
          </w:p>
        </w:tc>
      </w:tr>
      <w:tr w:rsidR="003D7A97" w:rsidRPr="001C7012" w:rsidTr="009A0303">
        <w:tc>
          <w:tcPr>
            <w:tcW w:w="10563" w:type="dxa"/>
            <w:gridSpan w:val="2"/>
            <w:vAlign w:val="center"/>
          </w:tcPr>
          <w:p w:rsidR="003D7A97" w:rsidRPr="00C434E6" w:rsidRDefault="003D7A97" w:rsidP="003D7A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Pr="003D7A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Совете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7A97" w:rsidRPr="001C7012" w:rsidTr="00EA17FE">
        <w:tc>
          <w:tcPr>
            <w:tcW w:w="5281" w:type="dxa"/>
            <w:vAlign w:val="center"/>
          </w:tcPr>
          <w:p w:rsidR="003D7A97" w:rsidRPr="00B37ED3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2.4. К компетенции Совета относятся следующие вопросы:</w:t>
            </w:r>
          </w:p>
          <w:p w:rsidR="003D7A97" w:rsidRPr="00B37ED3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внутренних документов Ассоциации за исключением тех, которые утверждает Общее собрание и Генеральный директор </w:t>
            </w:r>
            <w:r w:rsidR="00B37ED3" w:rsidRPr="00B37ED3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A97" w:rsidRPr="00B37ED3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- создание специализированных органов, утверждение полномочий о них и правил  осуществления ими деятельности;</w:t>
            </w:r>
          </w:p>
          <w:p w:rsidR="003D7A97" w:rsidRPr="00B37ED3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аудиторской организации для проверки ведения бухгалтерского учёта и финансовой (бухгалтерской) отчётности </w:t>
            </w:r>
            <w:r w:rsidR="00B37ED3" w:rsidRPr="00B37ED3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A97" w:rsidRPr="00B37ED3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материалов ревизий, проверок, а также отчётов руководителей филиалов и представительств </w:t>
            </w:r>
            <w:r w:rsidR="00B37ED3" w:rsidRPr="00B37ED3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по ним решений;</w:t>
            </w:r>
          </w:p>
          <w:p w:rsidR="003D7A97" w:rsidRPr="00B37ED3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- созыв Общего собрания, подготовка повестки дня Общего собрания и предложений по организационным и кадровым вопросам;</w:t>
            </w:r>
          </w:p>
          <w:p w:rsidR="003D7A97" w:rsidRPr="00B37ED3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избрание на должность Генерального директора </w:t>
            </w:r>
            <w:r w:rsidR="00B37ED3" w:rsidRPr="00B37ED3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, досрочное прекращение его полномочий;</w:t>
            </w:r>
          </w:p>
          <w:p w:rsidR="003D7A97" w:rsidRPr="00B37ED3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</w:t>
            </w:r>
            <w:proofErr w:type="gramStart"/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порядка ведения реестра членов </w:t>
            </w:r>
            <w:r w:rsidR="00B37ED3" w:rsidRPr="00B37ED3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proofErr w:type="gramEnd"/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A97" w:rsidRPr="00B37ED3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условий и порядка приема в члены </w:t>
            </w:r>
            <w:r w:rsidR="00B37ED3" w:rsidRPr="00B37ED3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A97" w:rsidRPr="00B37ED3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- утверждение финансовых планов Партнерства;</w:t>
            </w:r>
          </w:p>
          <w:p w:rsidR="003D7A97" w:rsidRPr="00B37ED3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- вынесение решения о принятии в члены Партнерства;</w:t>
            </w:r>
          </w:p>
          <w:p w:rsidR="003D7A97" w:rsidRPr="00B37ED3" w:rsidRDefault="003D7A97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решения </w:t>
            </w:r>
            <w:proofErr w:type="gramStart"/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об исключении из членов Партнерства в случае отсутствия у члена свидетельства о допуске</w:t>
            </w:r>
            <w:proofErr w:type="gramEnd"/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 хотя бы к одному виду работ, влияющих на безопасность объектов капитального строительства;</w:t>
            </w:r>
          </w:p>
          <w:p w:rsidR="003D7A97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решения об исключении из членов Партнерства по основаниям, предусмотренным 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законами и Уставом Партнерства;</w:t>
            </w:r>
          </w:p>
          <w:p w:rsidR="00B37ED3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- принятие решений по иным вопросам, относящимся к компетенции Совета и установленных федеральными законами, Уставом Партнерства, внутренними документами Партнерства.</w:t>
            </w:r>
          </w:p>
          <w:p w:rsidR="00B37ED3" w:rsidRPr="00C434E6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Общим собранием к компетенции Совета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исключительной компетенции Общего собрания.</w:t>
            </w:r>
          </w:p>
        </w:tc>
        <w:tc>
          <w:tcPr>
            <w:tcW w:w="5282" w:type="dxa"/>
            <w:vAlign w:val="center"/>
          </w:tcPr>
          <w:p w:rsidR="00B37ED3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К компетенции Совета относятся следующие вопросы:</w:t>
            </w:r>
          </w:p>
          <w:p w:rsidR="00B37ED3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внутренних документов Ассоциации за исключением тех, которые утверждает Общее собрание и Генеральный директор </w:t>
            </w:r>
            <w:r w:rsidR="000709BF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ED3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- создание специализированных органов, утверждение полномочий о них и правил  осуществления ими деятельности;</w:t>
            </w:r>
          </w:p>
          <w:p w:rsidR="00B37ED3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аудиторской организации для проверки ведения бухгалтерского учёта и финансовой (бухгалтерской) отчётности </w:t>
            </w:r>
            <w:r w:rsidR="000709BF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ED3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материалов ревизий, проверок, а также отчётов руководителей филиалов и представительств </w:t>
            </w:r>
            <w:r w:rsidR="000709BF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по ним решений;</w:t>
            </w:r>
          </w:p>
          <w:p w:rsidR="00B37ED3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- созыв Общего собрания, подготовка повестки дня Общего собрания и предложений по организационным и кадровым вопросам;</w:t>
            </w:r>
          </w:p>
          <w:p w:rsidR="00B37ED3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избрание на должность Генерального директора </w:t>
            </w:r>
            <w:r w:rsidR="00A16D55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, досрочное прекращение его полномочий;</w:t>
            </w:r>
          </w:p>
          <w:p w:rsidR="00B37ED3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финансовых планов </w:t>
            </w:r>
            <w:r w:rsidR="00A16D55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ED3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вынесение решения о принятии в члены </w:t>
            </w:r>
            <w:r w:rsidR="00A16D55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ED3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решения об исключении из членов </w:t>
            </w:r>
            <w:r w:rsidR="00A16D55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основаниям, предусмотренным федеральными законами и Уставом </w:t>
            </w:r>
            <w:r w:rsidR="00A16D55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ED3" w:rsidRPr="00B37ED3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решений по иным вопросам, относящимся к компетенции Совета и установленных федеральными законами, Уставом </w:t>
            </w:r>
            <w:r w:rsidR="00A16D55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, внутренними документами </w:t>
            </w:r>
            <w:r w:rsidR="00A16D55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A97" w:rsidRPr="00C434E6" w:rsidRDefault="00B37ED3" w:rsidP="00B37ED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к компетенции Совета может быть отнесено решение любых вопросов, в том числе вопросов, находящихся в компетенции </w:t>
            </w:r>
            <w:r w:rsidRPr="00B37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собрания, за исключением вопросов, отнесенных к исключительной компетенции Общего собрания.</w:t>
            </w:r>
          </w:p>
        </w:tc>
      </w:tr>
      <w:tr w:rsidR="005C4328" w:rsidRPr="001C7012" w:rsidTr="009A0303">
        <w:tc>
          <w:tcPr>
            <w:tcW w:w="10563" w:type="dxa"/>
            <w:gridSpan w:val="2"/>
            <w:vAlign w:val="center"/>
          </w:tcPr>
          <w:p w:rsidR="005C4328" w:rsidRPr="001C7012" w:rsidRDefault="005C4328" w:rsidP="003D7A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</w:t>
            </w:r>
            <w:r w:rsidR="003D7A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A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</w:t>
            </w:r>
            <w:r w:rsidR="002C2991">
              <w:rPr>
                <w:rFonts w:ascii="Times New Roman" w:hAnsi="Times New Roman" w:cs="Times New Roman"/>
                <w:b/>
                <w:sz w:val="24"/>
                <w:szCs w:val="24"/>
              </w:rPr>
              <w:t>Совете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C4328" w:rsidRPr="001C7012" w:rsidTr="009A0303">
        <w:tc>
          <w:tcPr>
            <w:tcW w:w="5281" w:type="dxa"/>
          </w:tcPr>
          <w:p w:rsidR="005C4328" w:rsidRPr="001C7012" w:rsidRDefault="002C2991" w:rsidP="002C29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3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991">
              <w:rPr>
                <w:rFonts w:ascii="Times New Roman" w:hAnsi="Times New Roman" w:cs="Times New Roman"/>
                <w:sz w:val="24"/>
                <w:szCs w:val="24"/>
              </w:rPr>
              <w:t>Совет избирается Общим собранием тайным голосованием сроком на два года из числа учредителей, индивидуальных предпринимателей - членов Партнерства и (или) представителей юридических лиц – членов Партнерства. Членами Совета не могут быть члены Ревизионной комиссии и Генеральный директор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5C4328" w:rsidRPr="001C7012" w:rsidRDefault="002C2991" w:rsidP="00AC46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718">
              <w:rPr>
                <w:rFonts w:ascii="Times New Roman" w:hAnsi="Times New Roman" w:cs="Times New Roman"/>
                <w:sz w:val="24"/>
                <w:szCs w:val="24"/>
              </w:rPr>
              <w:t xml:space="preserve"> Совет избирается Общим собранием тайным голосованием сроком на два года из числа</w:t>
            </w:r>
            <w:r w:rsidR="000207B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– членов </w:t>
            </w:r>
            <w:r w:rsidR="00AC4678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0207B6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представителей юридических лиц – членов </w:t>
            </w:r>
            <w:r w:rsidR="00AC4678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0207B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независимых членов. Членами Совета не могут быть члены Ревизионной комиссии и Генеральный директор </w:t>
            </w:r>
            <w:r w:rsidR="00AC4678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020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9C9" w:rsidRPr="001C7012" w:rsidTr="00463289">
        <w:tc>
          <w:tcPr>
            <w:tcW w:w="10563" w:type="dxa"/>
            <w:gridSpan w:val="2"/>
          </w:tcPr>
          <w:p w:rsidR="00F239C9" w:rsidRDefault="00F239C9" w:rsidP="00D74FD1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4F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Совете</w:t>
            </w:r>
            <w:r w:rsidRPr="00C434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7A97" w:rsidRPr="001C7012" w:rsidTr="009A0303">
        <w:tc>
          <w:tcPr>
            <w:tcW w:w="5281" w:type="dxa"/>
          </w:tcPr>
          <w:p w:rsidR="003D7A97" w:rsidRDefault="00F239C9" w:rsidP="002C29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 Председатель Совета избирается из числа членов Совета Общим собранием на 2 (два) года. С момента приобретения Организацией статуса саморегулируемой, одно и то же лицо не может быть Председателем Совета более двух сроков подряд.</w:t>
            </w:r>
          </w:p>
        </w:tc>
        <w:tc>
          <w:tcPr>
            <w:tcW w:w="5282" w:type="dxa"/>
          </w:tcPr>
          <w:p w:rsidR="003D7A97" w:rsidRDefault="00F239C9" w:rsidP="000207B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 Председатель Совета избирается из числа членов Совета Общим собранием на 2 (два) года.</w:t>
            </w:r>
          </w:p>
        </w:tc>
      </w:tr>
    </w:tbl>
    <w:p w:rsidR="001C7012" w:rsidRPr="001C7012" w:rsidRDefault="001C7012" w:rsidP="001C70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6A" w:rsidRPr="001C7012" w:rsidRDefault="00A40C6A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40C6A" w:rsidRPr="001C7012" w:rsidSect="00DA3751">
      <w:headerReference w:type="default" r:id="rId8"/>
      <w:pgSz w:w="11906" w:h="16838"/>
      <w:pgMar w:top="567" w:right="566" w:bottom="567" w:left="993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31" w:rsidRDefault="00491031" w:rsidP="00BE4C93">
      <w:pPr>
        <w:spacing w:after="0" w:line="240" w:lineRule="auto"/>
      </w:pPr>
      <w:r>
        <w:separator/>
      </w:r>
    </w:p>
  </w:endnote>
  <w:endnote w:type="continuationSeparator" w:id="0">
    <w:p w:rsidR="00491031" w:rsidRDefault="00491031" w:rsidP="00BE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31" w:rsidRDefault="00491031" w:rsidP="00BE4C93">
      <w:pPr>
        <w:spacing w:after="0" w:line="240" w:lineRule="auto"/>
      </w:pPr>
      <w:r>
        <w:separator/>
      </w:r>
    </w:p>
  </w:footnote>
  <w:footnote w:type="continuationSeparator" w:id="0">
    <w:p w:rsidR="00491031" w:rsidRDefault="00491031" w:rsidP="00BE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93" w:rsidRPr="00FC2914" w:rsidRDefault="00BE4C93" w:rsidP="00BE4C93">
    <w:pPr>
      <w:pStyle w:val="a7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</w:t>
    </w:r>
    <w:r w:rsidR="00305661">
      <w:rPr>
        <w:color w:val="7F7F7F" w:themeColor="text1" w:themeTint="80"/>
        <w:sz w:val="16"/>
        <w:szCs w:val="16"/>
      </w:rPr>
      <w:t>5</w:t>
    </w:r>
    <w:r w:rsidRPr="00FC2914">
      <w:rPr>
        <w:color w:val="7F7F7F" w:themeColor="text1" w:themeTint="80"/>
        <w:sz w:val="16"/>
        <w:szCs w:val="16"/>
      </w:rPr>
      <w:t xml:space="preserve"> к Протоколу от </w:t>
    </w:r>
    <w:r w:rsidR="00CA3A48">
      <w:rPr>
        <w:color w:val="7F7F7F" w:themeColor="text1" w:themeTint="80"/>
        <w:sz w:val="16"/>
        <w:szCs w:val="16"/>
      </w:rPr>
      <w:t>30</w:t>
    </w:r>
    <w:r>
      <w:rPr>
        <w:color w:val="7F7F7F" w:themeColor="text1" w:themeTint="80"/>
        <w:sz w:val="16"/>
        <w:szCs w:val="16"/>
      </w:rPr>
      <w:t>.0</w:t>
    </w:r>
    <w:r w:rsidR="00CA3A48">
      <w:rPr>
        <w:color w:val="7F7F7F" w:themeColor="text1" w:themeTint="80"/>
        <w:sz w:val="16"/>
        <w:szCs w:val="16"/>
      </w:rPr>
      <w:t>8</w:t>
    </w:r>
    <w:r>
      <w:rPr>
        <w:color w:val="7F7F7F" w:themeColor="text1" w:themeTint="80"/>
        <w:sz w:val="16"/>
        <w:szCs w:val="16"/>
      </w:rPr>
      <w:t>.202</w:t>
    </w:r>
    <w:r w:rsidR="00CA3A48">
      <w:rPr>
        <w:color w:val="7F7F7F" w:themeColor="text1" w:themeTint="80"/>
        <w:sz w:val="16"/>
        <w:szCs w:val="16"/>
      </w:rPr>
      <w:t>2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</w:t>
    </w:r>
    <w:r w:rsidR="00CA3A48">
      <w:rPr>
        <w:color w:val="7F7F7F" w:themeColor="text1" w:themeTint="80"/>
        <w:sz w:val="16"/>
        <w:szCs w:val="16"/>
      </w:rPr>
      <w:t>8</w:t>
    </w:r>
  </w:p>
  <w:p w:rsidR="00BE4C93" w:rsidRPr="00FC2914" w:rsidRDefault="00CA3A48" w:rsidP="00BE4C93">
    <w:pPr>
      <w:pStyle w:val="a7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вне</w:t>
    </w:r>
    <w:r w:rsidR="00BE4C93">
      <w:rPr>
        <w:color w:val="7F7F7F" w:themeColor="text1" w:themeTint="80"/>
        <w:sz w:val="16"/>
        <w:szCs w:val="16"/>
      </w:rPr>
      <w:t xml:space="preserve">очередного </w:t>
    </w:r>
    <w:r w:rsidR="00BE4C93" w:rsidRPr="00FC2914">
      <w:rPr>
        <w:color w:val="7F7F7F" w:themeColor="text1" w:themeTint="80"/>
        <w:sz w:val="16"/>
        <w:szCs w:val="16"/>
      </w:rPr>
      <w:t>Общего собрания членов</w:t>
    </w:r>
  </w:p>
  <w:p w:rsidR="00BE4C93" w:rsidRDefault="00BE4C93" w:rsidP="00BE4C93">
    <w:pPr>
      <w:pStyle w:val="a7"/>
      <w:tabs>
        <w:tab w:val="clear" w:pos="4677"/>
      </w:tabs>
      <w:ind w:left="7230"/>
    </w:pPr>
    <w:r>
      <w:rPr>
        <w:color w:val="7F7F7F" w:themeColor="text1" w:themeTint="80"/>
        <w:sz w:val="16"/>
        <w:szCs w:val="16"/>
      </w:rPr>
      <w:tab/>
      <w:t xml:space="preserve">   </w:t>
    </w:r>
    <w:r w:rsidRPr="00FC2914">
      <w:rPr>
        <w:color w:val="7F7F7F" w:themeColor="text1" w:themeTint="80"/>
        <w:sz w:val="16"/>
        <w:szCs w:val="16"/>
      </w:rPr>
      <w:t>Ассоциации СРО «</w:t>
    </w:r>
    <w:proofErr w:type="spellStart"/>
    <w:r w:rsidRPr="00FC2914">
      <w:rPr>
        <w:color w:val="7F7F7F" w:themeColor="text1" w:themeTint="80"/>
        <w:sz w:val="16"/>
        <w:szCs w:val="16"/>
      </w:rPr>
      <w:t>Нефтегазпроект</w:t>
    </w:r>
    <w:proofErr w:type="spellEnd"/>
    <w:r w:rsidRPr="00FC2914">
      <w:rPr>
        <w:color w:val="7F7F7F" w:themeColor="text1" w:themeTint="80"/>
        <w:sz w:val="16"/>
        <w:szCs w:val="16"/>
      </w:rPr>
      <w:t>-Альянс»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D12928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8D"/>
    <w:rsid w:val="00004C8D"/>
    <w:rsid w:val="00011001"/>
    <w:rsid w:val="000173C1"/>
    <w:rsid w:val="000207B6"/>
    <w:rsid w:val="00021C18"/>
    <w:rsid w:val="000709BF"/>
    <w:rsid w:val="00096E18"/>
    <w:rsid w:val="00112C20"/>
    <w:rsid w:val="00176450"/>
    <w:rsid w:val="001C7012"/>
    <w:rsid w:val="001D19D9"/>
    <w:rsid w:val="001E0CCB"/>
    <w:rsid w:val="00204181"/>
    <w:rsid w:val="00221F1A"/>
    <w:rsid w:val="002448A9"/>
    <w:rsid w:val="00266CC2"/>
    <w:rsid w:val="002C2991"/>
    <w:rsid w:val="00305661"/>
    <w:rsid w:val="0030651F"/>
    <w:rsid w:val="00386A4E"/>
    <w:rsid w:val="003A75F5"/>
    <w:rsid w:val="003C4705"/>
    <w:rsid w:val="003D7A97"/>
    <w:rsid w:val="00481F96"/>
    <w:rsid w:val="00482B83"/>
    <w:rsid w:val="00491031"/>
    <w:rsid w:val="004E3563"/>
    <w:rsid w:val="00527388"/>
    <w:rsid w:val="00562A2C"/>
    <w:rsid w:val="00571DEC"/>
    <w:rsid w:val="005B1FCC"/>
    <w:rsid w:val="005C4328"/>
    <w:rsid w:val="005F035B"/>
    <w:rsid w:val="005F42AE"/>
    <w:rsid w:val="005F5243"/>
    <w:rsid w:val="00615C8F"/>
    <w:rsid w:val="0061678B"/>
    <w:rsid w:val="00624D69"/>
    <w:rsid w:val="006E7F15"/>
    <w:rsid w:val="0076741C"/>
    <w:rsid w:val="00782931"/>
    <w:rsid w:val="007D208D"/>
    <w:rsid w:val="007F6FBF"/>
    <w:rsid w:val="008261E7"/>
    <w:rsid w:val="00873C69"/>
    <w:rsid w:val="008A0C27"/>
    <w:rsid w:val="00923718"/>
    <w:rsid w:val="00930C86"/>
    <w:rsid w:val="00982E74"/>
    <w:rsid w:val="009B2451"/>
    <w:rsid w:val="009D0719"/>
    <w:rsid w:val="009D095D"/>
    <w:rsid w:val="009F7A86"/>
    <w:rsid w:val="00A16D55"/>
    <w:rsid w:val="00A32C88"/>
    <w:rsid w:val="00A40C6A"/>
    <w:rsid w:val="00A4673D"/>
    <w:rsid w:val="00AC4678"/>
    <w:rsid w:val="00B37ED3"/>
    <w:rsid w:val="00B647F8"/>
    <w:rsid w:val="00B92BDB"/>
    <w:rsid w:val="00B94903"/>
    <w:rsid w:val="00BE4C93"/>
    <w:rsid w:val="00C434E6"/>
    <w:rsid w:val="00C67EA0"/>
    <w:rsid w:val="00CA3A48"/>
    <w:rsid w:val="00CB5AC2"/>
    <w:rsid w:val="00CC12B5"/>
    <w:rsid w:val="00CC45AC"/>
    <w:rsid w:val="00D27ED9"/>
    <w:rsid w:val="00D62C3D"/>
    <w:rsid w:val="00D74FD1"/>
    <w:rsid w:val="00DA3751"/>
    <w:rsid w:val="00DE66A4"/>
    <w:rsid w:val="00DE73A9"/>
    <w:rsid w:val="00E34F4F"/>
    <w:rsid w:val="00E53358"/>
    <w:rsid w:val="00E65528"/>
    <w:rsid w:val="00E7600D"/>
    <w:rsid w:val="00E96418"/>
    <w:rsid w:val="00EB4EB0"/>
    <w:rsid w:val="00F03CA0"/>
    <w:rsid w:val="00F13A0E"/>
    <w:rsid w:val="00F239C9"/>
    <w:rsid w:val="00F33B2E"/>
    <w:rsid w:val="00F419D0"/>
    <w:rsid w:val="00F52493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8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00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C93"/>
  </w:style>
  <w:style w:type="paragraph" w:styleId="a9">
    <w:name w:val="footer"/>
    <w:basedOn w:val="a"/>
    <w:link w:val="aa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C93"/>
  </w:style>
  <w:style w:type="table" w:styleId="ab">
    <w:name w:val="Table Grid"/>
    <w:basedOn w:val="a1"/>
    <w:uiPriority w:val="59"/>
    <w:rsid w:val="001C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24D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4D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4D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4D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4D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8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00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C93"/>
  </w:style>
  <w:style w:type="paragraph" w:styleId="a9">
    <w:name w:val="footer"/>
    <w:basedOn w:val="a"/>
    <w:link w:val="aa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C93"/>
  </w:style>
  <w:style w:type="table" w:styleId="ab">
    <w:name w:val="Table Grid"/>
    <w:basedOn w:val="a1"/>
    <w:uiPriority w:val="59"/>
    <w:rsid w:val="001C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24D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4D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4D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4D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4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224</cp:revision>
  <cp:lastPrinted>2022-08-09T08:00:00Z</cp:lastPrinted>
  <dcterms:created xsi:type="dcterms:W3CDTF">2019-03-20T17:59:00Z</dcterms:created>
  <dcterms:modified xsi:type="dcterms:W3CDTF">2022-08-29T11:55:00Z</dcterms:modified>
</cp:coreProperties>
</file>