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063FD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0063FD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A90386">
        <w:rPr>
          <w:rFonts w:ascii="Times New Roman" w:hAnsi="Times New Roman"/>
          <w:caps/>
          <w:color w:val="000000"/>
          <w:sz w:val="26"/>
          <w:szCs w:val="26"/>
        </w:rPr>
        <w:t>68</w:t>
      </w:r>
    </w:p>
    <w:p w:rsidR="00A6333B" w:rsidRPr="000063FD" w:rsidRDefault="00A6333B" w:rsidP="00A635F2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0063FD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0063FD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0063FD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0063FD">
        <w:rPr>
          <w:color w:val="000000"/>
          <w:sz w:val="26"/>
          <w:szCs w:val="26"/>
        </w:rPr>
        <w:t xml:space="preserve"> </w:t>
      </w:r>
      <w:r w:rsidRPr="000063FD">
        <w:rPr>
          <w:b/>
          <w:color w:val="000000"/>
          <w:sz w:val="26"/>
          <w:szCs w:val="26"/>
        </w:rPr>
        <w:t xml:space="preserve">«Нефтегазпроект-Альянс» </w:t>
      </w:r>
      <w:r w:rsidRPr="000063FD">
        <w:rPr>
          <w:b/>
          <w:color w:val="000000"/>
          <w:sz w:val="26"/>
          <w:szCs w:val="26"/>
        </w:rPr>
        <w:br/>
        <w:t>(НП СРО «Нефтегазпроект-Альянс»)</w:t>
      </w:r>
    </w:p>
    <w:p w:rsidR="00D125B0" w:rsidRPr="000063FD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0063FD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063FD">
        <w:rPr>
          <w:color w:val="000000"/>
          <w:sz w:val="26"/>
          <w:szCs w:val="26"/>
        </w:rPr>
        <w:t>НП СРО «Нефтегазпроект-Альянс» далее именуется также «Партнерство».</w:t>
      </w:r>
    </w:p>
    <w:p w:rsidR="002F34A2" w:rsidRPr="000063FD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C5775" w:rsidRPr="000063FD" w:rsidTr="0051225E">
        <w:tc>
          <w:tcPr>
            <w:tcW w:w="4111" w:type="dxa"/>
            <w:vAlign w:val="center"/>
          </w:tcPr>
          <w:p w:rsidR="00DC5775" w:rsidRPr="000063FD" w:rsidRDefault="00DC5775" w:rsidP="00C85D10">
            <w:pPr>
              <w:tabs>
                <w:tab w:val="left" w:pos="7215"/>
              </w:tabs>
              <w:rPr>
                <w:color w:val="000000"/>
                <w:sz w:val="26"/>
                <w:szCs w:val="26"/>
              </w:rPr>
            </w:pPr>
            <w:r w:rsidRPr="000063FD">
              <w:rPr>
                <w:b/>
                <w:sz w:val="26"/>
                <w:szCs w:val="26"/>
              </w:rPr>
              <w:t xml:space="preserve">Форма проведения </w:t>
            </w:r>
            <w:r w:rsidRPr="000063FD">
              <w:rPr>
                <w:b/>
                <w:color w:val="000000"/>
                <w:sz w:val="26"/>
                <w:szCs w:val="26"/>
              </w:rPr>
              <w:t>заседания</w:t>
            </w:r>
            <w:r w:rsidRPr="000063FD">
              <w:rPr>
                <w:b/>
                <w:sz w:val="26"/>
                <w:szCs w:val="26"/>
              </w:rPr>
              <w:t>:</w:t>
            </w:r>
            <w:r w:rsidRPr="000063FD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0063FD" w:rsidRDefault="00A90386" w:rsidP="001A786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совместное присутствие </w:t>
            </w:r>
          </w:p>
        </w:tc>
      </w:tr>
      <w:tr w:rsidR="00FE3C06" w:rsidRPr="000063FD" w:rsidTr="0051225E">
        <w:tc>
          <w:tcPr>
            <w:tcW w:w="4111" w:type="dxa"/>
            <w:vAlign w:val="center"/>
          </w:tcPr>
          <w:p w:rsidR="00FE3C06" w:rsidRPr="000063FD" w:rsidRDefault="00A90386" w:rsidP="00C85D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Дата и время проведения заседания</w:t>
            </w:r>
            <w:r w:rsidR="00FC02C2">
              <w:rPr>
                <w:rFonts w:eastAsia="Calibri"/>
                <w:b/>
                <w:sz w:val="26"/>
                <w:szCs w:val="26"/>
              </w:rPr>
              <w:t>, дата составления протокола</w:t>
            </w:r>
          </w:p>
        </w:tc>
        <w:tc>
          <w:tcPr>
            <w:tcW w:w="5528" w:type="dxa"/>
            <w:vAlign w:val="center"/>
          </w:tcPr>
          <w:p w:rsidR="00FE3C06" w:rsidRPr="000063FD" w:rsidRDefault="00A90386" w:rsidP="00BC5B6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5B6D"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декабря 201</w:t>
            </w:r>
            <w:r w:rsidR="0046245F">
              <w:rPr>
                <w:sz w:val="26"/>
                <w:szCs w:val="26"/>
              </w:rPr>
              <w:t>5 года, 13.00</w:t>
            </w:r>
          </w:p>
        </w:tc>
      </w:tr>
      <w:tr w:rsidR="00130F0A" w:rsidRPr="000063FD" w:rsidTr="0051225E">
        <w:tc>
          <w:tcPr>
            <w:tcW w:w="4111" w:type="dxa"/>
            <w:vAlign w:val="center"/>
          </w:tcPr>
          <w:p w:rsidR="00130F0A" w:rsidRPr="000063FD" w:rsidRDefault="001A7864" w:rsidP="00C85D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0063FD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130F0A" w:rsidRPr="000063FD" w:rsidRDefault="001A7864" w:rsidP="001A786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0063FD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0063FD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063FD">
        <w:rPr>
          <w:color w:val="000000"/>
          <w:sz w:val="26"/>
          <w:szCs w:val="26"/>
        </w:rPr>
        <w:t>В заседании Совета Партнерства</w:t>
      </w:r>
      <w:r w:rsidR="00BF38FE">
        <w:rPr>
          <w:color w:val="000000"/>
          <w:sz w:val="26"/>
          <w:szCs w:val="26"/>
        </w:rPr>
        <w:t xml:space="preserve"> посредством заочного голосования</w:t>
      </w:r>
      <w:r w:rsidRPr="000063FD">
        <w:rPr>
          <w:color w:val="000000"/>
          <w:sz w:val="26"/>
          <w:szCs w:val="26"/>
        </w:rPr>
        <w:t xml:space="preserve"> приняли участие</w:t>
      </w:r>
      <w:r w:rsidR="0051225E" w:rsidRPr="000063FD">
        <w:rPr>
          <w:color w:val="000000"/>
          <w:sz w:val="26"/>
          <w:szCs w:val="26"/>
        </w:rPr>
        <w:t xml:space="preserve"> </w:t>
      </w:r>
      <w:r w:rsidR="00DE4997" w:rsidRPr="000063FD">
        <w:rPr>
          <w:color w:val="000000"/>
          <w:sz w:val="26"/>
          <w:szCs w:val="26"/>
        </w:rPr>
        <w:t>7</w:t>
      </w:r>
      <w:r w:rsidR="0051225E" w:rsidRPr="000063FD">
        <w:rPr>
          <w:color w:val="000000"/>
          <w:sz w:val="26"/>
          <w:szCs w:val="26"/>
        </w:rPr>
        <w:t xml:space="preserve"> из 7 членов Совета Партнерства</w:t>
      </w:r>
      <w:r w:rsidR="00DC5775" w:rsidRPr="000063FD">
        <w:rPr>
          <w:color w:val="000000"/>
          <w:sz w:val="26"/>
          <w:szCs w:val="26"/>
        </w:rPr>
        <w:t>:</w:t>
      </w:r>
    </w:p>
    <w:p w:rsidR="00BF38FE" w:rsidRPr="000063FD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DC5775" w:rsidRPr="000063FD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0063FD">
        <w:rPr>
          <w:bCs/>
          <w:color w:val="000000"/>
          <w:sz w:val="26"/>
          <w:szCs w:val="26"/>
        </w:rPr>
        <w:t>Заикин Игорь Алексеевич</w:t>
      </w:r>
      <w:r w:rsidR="00DC5775" w:rsidRPr="000063FD">
        <w:rPr>
          <w:bCs/>
          <w:color w:val="000000"/>
          <w:sz w:val="26"/>
          <w:szCs w:val="26"/>
        </w:rPr>
        <w:t>;</w:t>
      </w:r>
    </w:p>
    <w:p w:rsidR="00DC5775" w:rsidRPr="000063FD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0063FD">
        <w:rPr>
          <w:bCs/>
          <w:color w:val="000000"/>
          <w:sz w:val="26"/>
          <w:szCs w:val="26"/>
        </w:rPr>
        <w:t>Алешин Юрий Викторович</w:t>
      </w:r>
      <w:r w:rsidR="00DC5775" w:rsidRPr="000063FD">
        <w:rPr>
          <w:bCs/>
          <w:color w:val="000000"/>
          <w:sz w:val="26"/>
          <w:szCs w:val="26"/>
        </w:rPr>
        <w:t>;</w:t>
      </w:r>
    </w:p>
    <w:p w:rsidR="006362C6" w:rsidRPr="000063FD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0063FD">
        <w:rPr>
          <w:bCs/>
          <w:color w:val="000000"/>
          <w:sz w:val="26"/>
          <w:szCs w:val="26"/>
        </w:rPr>
        <w:t>Виноградов Игорь Николаевич;</w:t>
      </w:r>
    </w:p>
    <w:p w:rsidR="001A68B1" w:rsidRPr="000063FD" w:rsidRDefault="001A68B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0063FD">
        <w:rPr>
          <w:bCs/>
          <w:color w:val="000000"/>
          <w:sz w:val="26"/>
          <w:szCs w:val="26"/>
        </w:rPr>
        <w:t>Савенков Сергей Васильевич;</w:t>
      </w:r>
    </w:p>
    <w:p w:rsidR="001A68B1" w:rsidRPr="000063FD" w:rsidRDefault="001A68B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0063FD">
        <w:rPr>
          <w:bCs/>
          <w:color w:val="000000"/>
          <w:sz w:val="26"/>
          <w:szCs w:val="26"/>
        </w:rPr>
        <w:t>Пелых Алексей Александрович;</w:t>
      </w:r>
    </w:p>
    <w:p w:rsidR="00FD361C" w:rsidRPr="000063FD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0063FD">
        <w:rPr>
          <w:bCs/>
          <w:color w:val="000000"/>
          <w:sz w:val="26"/>
          <w:szCs w:val="26"/>
        </w:rPr>
        <w:t>Гуреев Сергей Николаевич;</w:t>
      </w:r>
    </w:p>
    <w:p w:rsidR="00DE1C30" w:rsidRPr="000063FD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0063FD">
        <w:rPr>
          <w:bCs/>
          <w:color w:val="000000"/>
          <w:sz w:val="26"/>
          <w:szCs w:val="26"/>
        </w:rPr>
        <w:t>Рукавишников Дмитрий Савельевич</w:t>
      </w:r>
      <w:r w:rsidR="001A68B1" w:rsidRPr="000063FD">
        <w:rPr>
          <w:bCs/>
          <w:color w:val="000000"/>
          <w:sz w:val="26"/>
          <w:szCs w:val="26"/>
        </w:rPr>
        <w:t>.</w:t>
      </w:r>
    </w:p>
    <w:p w:rsidR="00DC5775" w:rsidRPr="000063FD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A68B1" w:rsidRPr="000063FD" w:rsidRDefault="008916A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Установлено наличие кворума по всем вопросам </w:t>
      </w:r>
      <w:proofErr w:type="gramStart"/>
      <w:r>
        <w:rPr>
          <w:color w:val="000000"/>
          <w:sz w:val="26"/>
          <w:szCs w:val="26"/>
        </w:rPr>
        <w:t>повестки дня заседания Совета Партнерства</w:t>
      </w:r>
      <w:proofErr w:type="gramEnd"/>
      <w:r>
        <w:rPr>
          <w:color w:val="000000"/>
          <w:sz w:val="26"/>
          <w:szCs w:val="26"/>
        </w:rPr>
        <w:t>.</w:t>
      </w:r>
    </w:p>
    <w:p w:rsidR="00DC5775" w:rsidRPr="000063FD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63FD">
        <w:rPr>
          <w:color w:val="000000"/>
          <w:sz w:val="26"/>
          <w:szCs w:val="26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0063FD" w:rsidRDefault="00DC5775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63FD">
        <w:rPr>
          <w:color w:val="000000"/>
          <w:sz w:val="26"/>
          <w:szCs w:val="26"/>
        </w:rPr>
        <w:t xml:space="preserve">Подсчет голосов проводится </w:t>
      </w:r>
      <w:r w:rsidR="008916A5">
        <w:rPr>
          <w:color w:val="000000"/>
          <w:sz w:val="26"/>
          <w:szCs w:val="26"/>
        </w:rPr>
        <w:t>Председателем</w:t>
      </w:r>
      <w:r w:rsidRPr="000063FD">
        <w:rPr>
          <w:color w:val="000000"/>
          <w:sz w:val="26"/>
          <w:szCs w:val="26"/>
        </w:rPr>
        <w:t xml:space="preserve"> Совета Партнерства и секретарем заседания Совета Партнерства.</w:t>
      </w:r>
    </w:p>
    <w:p w:rsidR="00FE3C06" w:rsidRPr="000063FD" w:rsidRDefault="00FE3C06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63FD">
        <w:rPr>
          <w:color w:val="000000"/>
          <w:sz w:val="26"/>
          <w:szCs w:val="26"/>
        </w:rPr>
        <w:t>Протокол подписывает Председатель Совета Партнерства Игорь Алексеевич Заикин</w:t>
      </w:r>
      <w:r w:rsidR="00A551B1" w:rsidRPr="000063FD">
        <w:rPr>
          <w:color w:val="000000"/>
          <w:sz w:val="26"/>
          <w:szCs w:val="26"/>
        </w:rPr>
        <w:t xml:space="preserve"> и секретарь заседания Андрей Александрович Ходус</w:t>
      </w:r>
      <w:r w:rsidRPr="000063FD">
        <w:rPr>
          <w:color w:val="000000"/>
          <w:sz w:val="26"/>
          <w:szCs w:val="26"/>
        </w:rPr>
        <w:t>.</w:t>
      </w:r>
    </w:p>
    <w:p w:rsidR="00764513" w:rsidRPr="000063FD" w:rsidRDefault="00764513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14EDA" w:rsidRPr="000063FD" w:rsidRDefault="00A14EDA" w:rsidP="000063FD">
      <w:pPr>
        <w:spacing w:line="276" w:lineRule="auto"/>
        <w:jc w:val="center"/>
        <w:rPr>
          <w:color w:val="000000"/>
          <w:sz w:val="26"/>
          <w:szCs w:val="26"/>
        </w:rPr>
      </w:pPr>
      <w:r w:rsidRPr="000063FD">
        <w:rPr>
          <w:b/>
          <w:color w:val="000000"/>
          <w:sz w:val="26"/>
          <w:szCs w:val="26"/>
        </w:rPr>
        <w:t>ПОВЕСТКА ДНЯ</w:t>
      </w:r>
      <w:r w:rsidRPr="000063FD">
        <w:rPr>
          <w:color w:val="000000"/>
          <w:sz w:val="26"/>
          <w:szCs w:val="26"/>
        </w:rPr>
        <w:t>:</w:t>
      </w:r>
    </w:p>
    <w:p w:rsidR="00DC5775" w:rsidRPr="000063FD" w:rsidRDefault="00DC5775" w:rsidP="000063FD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</w:p>
    <w:p w:rsidR="00A577DC" w:rsidRPr="00707581" w:rsidRDefault="001A68B1" w:rsidP="000063FD">
      <w:pPr>
        <w:spacing w:line="276" w:lineRule="auto"/>
        <w:jc w:val="both"/>
        <w:rPr>
          <w:sz w:val="26"/>
          <w:szCs w:val="26"/>
        </w:rPr>
      </w:pPr>
      <w:r w:rsidRPr="00707581">
        <w:rPr>
          <w:sz w:val="26"/>
          <w:szCs w:val="26"/>
        </w:rPr>
        <w:t>1</w:t>
      </w:r>
      <w:r w:rsidR="004F0375" w:rsidRPr="00707581">
        <w:rPr>
          <w:sz w:val="26"/>
          <w:szCs w:val="26"/>
        </w:rPr>
        <w:t xml:space="preserve">. </w:t>
      </w:r>
      <w:r w:rsidR="00FB1CFD" w:rsidRPr="00707581">
        <w:rPr>
          <w:sz w:val="26"/>
          <w:szCs w:val="26"/>
        </w:rPr>
        <w:t xml:space="preserve">О </w:t>
      </w:r>
      <w:r w:rsidR="00FC02C2">
        <w:rPr>
          <w:sz w:val="26"/>
          <w:szCs w:val="26"/>
        </w:rPr>
        <w:t>приеме в члены Партнерства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0063FD" w:rsidRPr="00707581" w:rsidRDefault="000063FD" w:rsidP="000063FD">
      <w:pPr>
        <w:pStyle w:val="ConsPlusNormal"/>
        <w:spacing w:line="276" w:lineRule="auto"/>
        <w:jc w:val="both"/>
        <w:rPr>
          <w:bCs/>
          <w:color w:val="000000"/>
        </w:rPr>
      </w:pPr>
    </w:p>
    <w:p w:rsidR="00447433" w:rsidRPr="00707581" w:rsidRDefault="00447433" w:rsidP="000063F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707581">
        <w:rPr>
          <w:b/>
          <w:color w:val="000000"/>
          <w:sz w:val="26"/>
          <w:szCs w:val="26"/>
        </w:rPr>
        <w:t xml:space="preserve">По вопросу </w:t>
      </w:r>
      <w:r w:rsidR="001A68B1" w:rsidRPr="00707581">
        <w:rPr>
          <w:b/>
          <w:color w:val="000000"/>
          <w:sz w:val="26"/>
          <w:szCs w:val="26"/>
        </w:rPr>
        <w:t>1</w:t>
      </w:r>
      <w:r w:rsidRPr="00707581">
        <w:rPr>
          <w:b/>
          <w:color w:val="000000"/>
          <w:sz w:val="26"/>
          <w:szCs w:val="26"/>
        </w:rPr>
        <w:t xml:space="preserve"> </w:t>
      </w:r>
      <w:r w:rsidRPr="00707581">
        <w:rPr>
          <w:color w:val="000000"/>
          <w:sz w:val="26"/>
          <w:szCs w:val="26"/>
        </w:rPr>
        <w:t>Повестки дня «</w:t>
      </w:r>
      <w:r w:rsidR="00FC02C2" w:rsidRPr="00707581">
        <w:rPr>
          <w:sz w:val="26"/>
          <w:szCs w:val="26"/>
        </w:rPr>
        <w:t xml:space="preserve">О </w:t>
      </w:r>
      <w:r w:rsidR="00FC02C2">
        <w:rPr>
          <w:sz w:val="26"/>
          <w:szCs w:val="26"/>
        </w:rPr>
        <w:t>приеме в члены Партнерства и о выдаче свидетельства о допуске к работам, которые оказывают влияние на безопасность объектов капитального строительства</w:t>
      </w:r>
      <w:r w:rsidRPr="00707581">
        <w:rPr>
          <w:color w:val="000000"/>
          <w:sz w:val="26"/>
          <w:szCs w:val="26"/>
        </w:rPr>
        <w:t>»</w:t>
      </w:r>
    </w:p>
    <w:p w:rsidR="00447433" w:rsidRPr="00707581" w:rsidRDefault="004F0375" w:rsidP="000063FD">
      <w:pPr>
        <w:tabs>
          <w:tab w:val="left" w:pos="727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707581">
        <w:rPr>
          <w:color w:val="000000"/>
          <w:sz w:val="26"/>
          <w:szCs w:val="26"/>
        </w:rPr>
        <w:tab/>
      </w:r>
    </w:p>
    <w:p w:rsidR="00FC02C2" w:rsidRDefault="00FC02C2" w:rsidP="000063F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FC02C2" w:rsidRDefault="00FC02C2" w:rsidP="000063F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174D5D" w:rsidRPr="00707581" w:rsidRDefault="00174D5D" w:rsidP="000063F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707581">
        <w:rPr>
          <w:b/>
          <w:color w:val="000000"/>
          <w:sz w:val="26"/>
          <w:szCs w:val="26"/>
        </w:rPr>
        <w:lastRenderedPageBreak/>
        <w:t>СЛУШАЛИ</w:t>
      </w:r>
    </w:p>
    <w:p w:rsidR="001A68B1" w:rsidRPr="00707581" w:rsidRDefault="00174D5D" w:rsidP="00FC02C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707581">
        <w:rPr>
          <w:color w:val="000000"/>
          <w:sz w:val="26"/>
          <w:szCs w:val="26"/>
        </w:rPr>
        <w:t>Генерального директора Партнерства</w:t>
      </w:r>
      <w:r w:rsidR="001A68B1" w:rsidRPr="00707581">
        <w:rPr>
          <w:color w:val="000000"/>
          <w:sz w:val="26"/>
          <w:szCs w:val="26"/>
        </w:rPr>
        <w:t xml:space="preserve"> Горькова Игоря Ивановича, сообщившего о поступлении </w:t>
      </w:r>
      <w:r w:rsidR="00FC02C2">
        <w:rPr>
          <w:color w:val="000000"/>
          <w:sz w:val="26"/>
          <w:szCs w:val="26"/>
        </w:rPr>
        <w:t>документов для приема в члены Партнерства, предусмотренных ч. 2 ст. 55.6 Градостроительного кодекса Российской Федерации</w:t>
      </w:r>
      <w:r w:rsidR="00D73153">
        <w:rPr>
          <w:color w:val="000000"/>
          <w:sz w:val="26"/>
          <w:szCs w:val="26"/>
        </w:rPr>
        <w:t xml:space="preserve">, от </w:t>
      </w:r>
      <w:r w:rsidR="00D73153" w:rsidRPr="00D73153">
        <w:rPr>
          <w:sz w:val="26"/>
          <w:szCs w:val="26"/>
        </w:rPr>
        <w:t>Обществ</w:t>
      </w:r>
      <w:r w:rsidR="00D73153">
        <w:rPr>
          <w:sz w:val="26"/>
          <w:szCs w:val="26"/>
        </w:rPr>
        <w:t>а</w:t>
      </w:r>
      <w:r w:rsidR="00D73153" w:rsidRPr="00D73153">
        <w:rPr>
          <w:sz w:val="26"/>
          <w:szCs w:val="26"/>
        </w:rPr>
        <w:t xml:space="preserve"> с ограниченной ответственностью «ГСИ-</w:t>
      </w:r>
      <w:proofErr w:type="spellStart"/>
      <w:r w:rsidR="00D73153" w:rsidRPr="00D73153">
        <w:rPr>
          <w:sz w:val="26"/>
          <w:szCs w:val="26"/>
        </w:rPr>
        <w:t>Пермнефтегазстрой</w:t>
      </w:r>
      <w:proofErr w:type="spellEnd"/>
      <w:r w:rsidR="00D73153" w:rsidRPr="00D73153">
        <w:rPr>
          <w:sz w:val="26"/>
          <w:szCs w:val="26"/>
        </w:rPr>
        <w:t>»</w:t>
      </w:r>
      <w:r w:rsidR="00FC02C2">
        <w:rPr>
          <w:color w:val="000000"/>
          <w:sz w:val="26"/>
          <w:szCs w:val="26"/>
        </w:rPr>
        <w:t>. В соответствии со ч. 4 ст. 55.5 Градостроительного кодекса Российской Федерации проведена проверка указанных документов. Генеральным директором предложено принять решение о приеме заявителя в члены Партнерства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174D5D" w:rsidRPr="00707581" w:rsidRDefault="00174D5D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174D5D" w:rsidRPr="00707581" w:rsidRDefault="00174D5D" w:rsidP="00174D5D">
      <w:pPr>
        <w:spacing w:line="276" w:lineRule="auto"/>
        <w:ind w:firstLine="708"/>
        <w:rPr>
          <w:b/>
          <w:bCs/>
          <w:sz w:val="26"/>
          <w:szCs w:val="26"/>
        </w:rPr>
      </w:pPr>
      <w:r w:rsidRPr="00707581">
        <w:rPr>
          <w:b/>
          <w:color w:val="000000"/>
          <w:sz w:val="26"/>
          <w:szCs w:val="26"/>
        </w:rPr>
        <w:t>РЕШИЛИ</w:t>
      </w:r>
    </w:p>
    <w:p w:rsidR="00174D5D" w:rsidRPr="00D73153" w:rsidRDefault="00AF255E" w:rsidP="00174D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73153">
        <w:rPr>
          <w:color w:val="000000"/>
          <w:sz w:val="26"/>
          <w:szCs w:val="26"/>
        </w:rPr>
        <w:t xml:space="preserve">1. </w:t>
      </w:r>
      <w:r w:rsidR="00D73153" w:rsidRPr="00D73153">
        <w:rPr>
          <w:color w:val="000000"/>
          <w:sz w:val="26"/>
          <w:szCs w:val="26"/>
        </w:rPr>
        <w:t xml:space="preserve">Принять в члены НП СРО «Нефтегазпроект-Альянс» </w:t>
      </w:r>
      <w:r w:rsidR="00D73153" w:rsidRPr="00D73153">
        <w:rPr>
          <w:sz w:val="26"/>
          <w:szCs w:val="26"/>
        </w:rPr>
        <w:t>Общество с ограниченной ответственностью «ГСИ-</w:t>
      </w:r>
      <w:proofErr w:type="spellStart"/>
      <w:r w:rsidR="00D73153" w:rsidRPr="00D73153">
        <w:rPr>
          <w:sz w:val="26"/>
          <w:szCs w:val="26"/>
        </w:rPr>
        <w:t>Пермнефтегазстрой</w:t>
      </w:r>
      <w:proofErr w:type="spellEnd"/>
      <w:r w:rsidR="00D73153" w:rsidRPr="00D73153">
        <w:rPr>
          <w:sz w:val="26"/>
          <w:szCs w:val="26"/>
        </w:rPr>
        <w:t>» (ИНН 5905011625)</w:t>
      </w:r>
      <w:r w:rsidR="00D73153">
        <w:rPr>
          <w:color w:val="000000"/>
          <w:sz w:val="26"/>
          <w:szCs w:val="26"/>
        </w:rPr>
        <w:t>;</w:t>
      </w:r>
    </w:p>
    <w:p w:rsidR="00AF255E" w:rsidRPr="00707581" w:rsidRDefault="00AF255E" w:rsidP="00174D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707581">
        <w:rPr>
          <w:color w:val="000000"/>
          <w:sz w:val="26"/>
          <w:szCs w:val="26"/>
        </w:rPr>
        <w:t xml:space="preserve">2. Выдать </w:t>
      </w:r>
      <w:r w:rsidR="00D73153">
        <w:rPr>
          <w:color w:val="000000"/>
          <w:sz w:val="26"/>
          <w:szCs w:val="26"/>
        </w:rPr>
        <w:t>указанному лицу свидетельство о допуске к работам, которые оказывают влияние на безопасность объектов капитального строительства, после уплаты вступительного взноса и взноса в компенсационный фонд, на основании поступившего заявления в соответствии с Приложением 1 к настоящему протоколу</w:t>
      </w:r>
      <w:r w:rsidRPr="00707581">
        <w:rPr>
          <w:color w:val="000000"/>
          <w:sz w:val="26"/>
          <w:szCs w:val="26"/>
        </w:rPr>
        <w:t>.</w:t>
      </w:r>
    </w:p>
    <w:p w:rsidR="00174D5D" w:rsidRPr="00707581" w:rsidRDefault="00174D5D" w:rsidP="00174D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174D5D" w:rsidRPr="00707581" w:rsidRDefault="00174D5D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707581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174D5D" w:rsidRPr="00707581" w:rsidRDefault="00174D5D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174D5D" w:rsidRPr="00707581" w:rsidRDefault="00174D5D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707581">
        <w:rPr>
          <w:b/>
          <w:color w:val="000000"/>
          <w:sz w:val="26"/>
          <w:szCs w:val="26"/>
        </w:rPr>
        <w:t xml:space="preserve">«ЗА» - </w:t>
      </w:r>
      <w:r w:rsidR="00DE4997" w:rsidRPr="00707581">
        <w:rPr>
          <w:b/>
          <w:color w:val="000000"/>
          <w:sz w:val="26"/>
          <w:szCs w:val="26"/>
        </w:rPr>
        <w:t>7</w:t>
      </w:r>
      <w:r w:rsidRPr="00707581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707581">
        <w:rPr>
          <w:b/>
          <w:color w:val="000000"/>
          <w:sz w:val="26"/>
          <w:szCs w:val="26"/>
        </w:rPr>
        <w:t>Решение принято единогласно.</w:t>
      </w:r>
    </w:p>
    <w:p w:rsidR="00D73153" w:rsidRDefault="00D73153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172B18" w:rsidRDefault="00172B18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172B18" w:rsidRPr="00707581" w:rsidRDefault="00172B18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24927" w:rsidRPr="00707581" w:rsidRDefault="00024927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1787"/>
        <w:gridCol w:w="3899"/>
      </w:tblGrid>
      <w:tr w:rsidR="00A6333B" w:rsidRPr="000063FD" w:rsidTr="00D73153">
        <w:trPr>
          <w:trHeight w:val="997"/>
        </w:trPr>
        <w:tc>
          <w:tcPr>
            <w:tcW w:w="4169" w:type="dxa"/>
          </w:tcPr>
          <w:p w:rsidR="00A6333B" w:rsidRPr="000063FD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0063FD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1787" w:type="dxa"/>
          </w:tcPr>
          <w:p w:rsidR="00A6333B" w:rsidRPr="000063FD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0063FD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3899" w:type="dxa"/>
          </w:tcPr>
          <w:p w:rsidR="00A6333B" w:rsidRPr="000063FD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0063FD">
              <w:rPr>
                <w:color w:val="000000"/>
                <w:sz w:val="26"/>
                <w:szCs w:val="26"/>
              </w:rPr>
              <w:t>И.А. Заикин</w:t>
            </w:r>
          </w:p>
          <w:p w:rsidR="00393DA1" w:rsidRPr="000063FD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0063FD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0063FD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0063FD" w:rsidTr="00D73153">
        <w:trPr>
          <w:trHeight w:val="481"/>
        </w:trPr>
        <w:tc>
          <w:tcPr>
            <w:tcW w:w="4169" w:type="dxa"/>
          </w:tcPr>
          <w:p w:rsidR="00A6333B" w:rsidRPr="000063FD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0063FD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1787" w:type="dxa"/>
          </w:tcPr>
          <w:p w:rsidR="00A6333B" w:rsidRPr="000063FD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99" w:type="dxa"/>
          </w:tcPr>
          <w:p w:rsidR="00A6333B" w:rsidRPr="000063FD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0063FD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9C7769" w:rsidRPr="000063FD" w:rsidRDefault="009C7769" w:rsidP="00A635F2">
      <w:pPr>
        <w:spacing w:line="276" w:lineRule="auto"/>
        <w:rPr>
          <w:color w:val="000000"/>
          <w:sz w:val="26"/>
          <w:szCs w:val="26"/>
        </w:rPr>
        <w:sectPr w:rsidR="009C7769" w:rsidRPr="000063FD" w:rsidSect="00DE4997">
          <w:footerReference w:type="even" r:id="rId9"/>
          <w:footerReference w:type="default" r:id="rId10"/>
          <w:pgSz w:w="11907" w:h="16840" w:code="9"/>
          <w:pgMar w:top="567" w:right="850" w:bottom="567" w:left="1418" w:header="284" w:footer="0" w:gutter="0"/>
          <w:cols w:space="708"/>
          <w:docGrid w:linePitch="360"/>
        </w:sectPr>
      </w:pPr>
    </w:p>
    <w:p w:rsidR="00393C7A" w:rsidRPr="000063FD" w:rsidRDefault="00393C7A" w:rsidP="00B36CA5">
      <w:pPr>
        <w:pStyle w:val="1"/>
        <w:ind w:left="0"/>
        <w:jc w:val="center"/>
        <w:rPr>
          <w:sz w:val="26"/>
          <w:szCs w:val="26"/>
        </w:rPr>
      </w:pPr>
      <w:r w:rsidRPr="000063FD">
        <w:rPr>
          <w:sz w:val="26"/>
          <w:szCs w:val="26"/>
        </w:rPr>
        <w:t>Сведения о юридических лицах,</w:t>
      </w:r>
    </w:p>
    <w:p w:rsidR="007C0DD2" w:rsidRPr="000063FD" w:rsidRDefault="007C0DD2" w:rsidP="00B36CA5">
      <w:pPr>
        <w:jc w:val="center"/>
        <w:rPr>
          <w:bCs/>
          <w:sz w:val="26"/>
          <w:szCs w:val="26"/>
        </w:rPr>
      </w:pPr>
      <w:r w:rsidRPr="000063FD">
        <w:rPr>
          <w:bCs/>
          <w:sz w:val="26"/>
          <w:szCs w:val="26"/>
        </w:rPr>
        <w:t xml:space="preserve">в отношении которых приняты решения о </w:t>
      </w:r>
      <w:r w:rsidR="00357EEF" w:rsidRPr="000063FD">
        <w:rPr>
          <w:bCs/>
          <w:sz w:val="26"/>
          <w:szCs w:val="26"/>
        </w:rPr>
        <w:t>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CD7FC2" w:rsidRPr="000063FD" w:rsidRDefault="00CD7FC2" w:rsidP="00A635F2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54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5152"/>
        <w:gridCol w:w="142"/>
        <w:gridCol w:w="4203"/>
        <w:gridCol w:w="55"/>
        <w:gridCol w:w="1079"/>
        <w:gridCol w:w="63"/>
        <w:gridCol w:w="1355"/>
        <w:gridCol w:w="1276"/>
      </w:tblGrid>
      <w:tr w:rsidR="00D73153" w:rsidRPr="00FB252A" w:rsidTr="00D73153">
        <w:tc>
          <w:tcPr>
            <w:tcW w:w="312" w:type="dxa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 xml:space="preserve">№ </w:t>
            </w:r>
            <w:r w:rsidRPr="00FB252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Полное наименование органи</w:t>
            </w:r>
            <w:r w:rsidRPr="00FB252A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9497" w:type="dxa"/>
            <w:gridSpan w:val="3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Перечень видов работ, оказыва</w:t>
            </w:r>
            <w:r w:rsidRPr="00FB252A">
              <w:rPr>
                <w:sz w:val="20"/>
                <w:szCs w:val="20"/>
              </w:rPr>
              <w:softHyphen/>
              <w:t>ющих влияние на безопас</w:t>
            </w:r>
            <w:r w:rsidRPr="00FB252A">
              <w:rPr>
                <w:sz w:val="20"/>
                <w:szCs w:val="20"/>
              </w:rPr>
              <w:softHyphen/>
              <w:t>ность объектов капиталь</w:t>
            </w:r>
            <w:r w:rsidRPr="00FB252A">
              <w:rPr>
                <w:sz w:val="20"/>
                <w:szCs w:val="20"/>
              </w:rPr>
              <w:softHyphen/>
              <w:t>ного строитель</w:t>
            </w:r>
            <w:r w:rsidRPr="00FB252A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gridSpan w:val="2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2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Государст</w:t>
            </w:r>
            <w:r w:rsidRPr="00FB252A">
              <w:rPr>
                <w:sz w:val="20"/>
                <w:szCs w:val="20"/>
              </w:rPr>
              <w:softHyphen/>
              <w:t>венный регистраци</w:t>
            </w:r>
            <w:r w:rsidRPr="00FB252A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Место нахож</w:t>
            </w:r>
            <w:r w:rsidRPr="00FB252A">
              <w:rPr>
                <w:sz w:val="20"/>
                <w:szCs w:val="20"/>
              </w:rPr>
              <w:softHyphen/>
              <w:t>дения, адрес, контакт</w:t>
            </w:r>
            <w:r w:rsidRPr="00FB252A">
              <w:rPr>
                <w:sz w:val="20"/>
                <w:szCs w:val="20"/>
              </w:rPr>
              <w:softHyphen/>
              <w:t xml:space="preserve">ные данные </w:t>
            </w:r>
          </w:p>
        </w:tc>
      </w:tr>
      <w:tr w:rsidR="00D73153" w:rsidRPr="00FB252A" w:rsidTr="00D73153">
        <w:trPr>
          <w:trHeight w:val="161"/>
        </w:trPr>
        <w:tc>
          <w:tcPr>
            <w:tcW w:w="312" w:type="dxa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3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6</w:t>
            </w:r>
          </w:p>
        </w:tc>
      </w:tr>
      <w:tr w:rsidR="00D73153" w:rsidRPr="00FB252A" w:rsidTr="00D73153">
        <w:tc>
          <w:tcPr>
            <w:tcW w:w="312" w:type="dxa"/>
          </w:tcPr>
          <w:p w:rsidR="00D73153" w:rsidRPr="00FB252A" w:rsidRDefault="00D73153" w:rsidP="00D125B0">
            <w:pPr>
              <w:jc w:val="center"/>
              <w:rPr>
                <w:sz w:val="20"/>
                <w:szCs w:val="20"/>
              </w:rPr>
            </w:pPr>
            <w:r w:rsidRPr="00FB252A"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D73153" w:rsidRPr="00FB252A" w:rsidRDefault="00D73153" w:rsidP="003A25D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«ГСИ-</w:t>
            </w:r>
            <w:proofErr w:type="spellStart"/>
            <w:r>
              <w:rPr>
                <w:sz w:val="16"/>
                <w:szCs w:val="16"/>
              </w:rPr>
              <w:t>Пермнефтегазстрой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497" w:type="dxa"/>
            <w:gridSpan w:val="3"/>
          </w:tcPr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Перечень видов работ,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которые оказывают влияние на безопасность объектов капитального строительства (кроме особо опасных, технически сложных объектов, объектов использования атомной энергии)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1.2. Работы по подготовке схемы планировочной организации трассы линейного объекта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 xml:space="preserve">1.3. Работы по подготовке </w:t>
            </w:r>
            <w:proofErr w:type="gramStart"/>
            <w:r w:rsidRPr="00B20142">
              <w:rPr>
                <w:sz w:val="12"/>
                <w:szCs w:val="12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20142">
              <w:rPr>
                <w:sz w:val="12"/>
                <w:szCs w:val="12"/>
              </w:rPr>
              <w:t>противодымной</w:t>
            </w:r>
            <w:proofErr w:type="spellEnd"/>
            <w:r w:rsidRPr="00B20142">
              <w:rPr>
                <w:sz w:val="12"/>
                <w:szCs w:val="12"/>
              </w:rPr>
              <w:t xml:space="preserve"> вентиляции, теплоснабжения и холодоснабжения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D73153" w:rsidRPr="00D54DC5" w:rsidRDefault="00D73153" w:rsidP="00D73153">
            <w:pPr>
              <w:rPr>
                <w:b/>
                <w:sz w:val="12"/>
                <w:szCs w:val="12"/>
              </w:rPr>
            </w:pPr>
            <w:r w:rsidRPr="00D54DC5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5.1. Работы по подготовке проектов наружных сетей теплоснабжения и их сооружений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5.6. Работы по подготовке проектов наружных сетей слаботочных систем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5.7. Работы по подготовке проектов наружных сетей газоснабжения и их сооружений</w:t>
            </w:r>
          </w:p>
          <w:p w:rsidR="00D73153" w:rsidRPr="00D54DC5" w:rsidRDefault="00D73153" w:rsidP="00D73153">
            <w:pPr>
              <w:rPr>
                <w:b/>
                <w:sz w:val="12"/>
                <w:szCs w:val="12"/>
              </w:rPr>
            </w:pPr>
            <w:r w:rsidRPr="00D54DC5">
              <w:rPr>
                <w:b/>
                <w:sz w:val="12"/>
                <w:szCs w:val="12"/>
              </w:rPr>
              <w:t>6. Работы по подготовке технологических решений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D73153" w:rsidRDefault="00D73153" w:rsidP="00D731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6.8.</w:t>
            </w:r>
            <w:r>
              <w:t xml:space="preserve"> </w:t>
            </w:r>
            <w:r w:rsidRPr="00D54DC5">
              <w:rPr>
                <w:sz w:val="12"/>
                <w:szCs w:val="12"/>
              </w:rPr>
              <w:t xml:space="preserve">. Работы по подготовке технологических решений объектов </w:t>
            </w:r>
            <w:r>
              <w:rPr>
                <w:sz w:val="12"/>
                <w:szCs w:val="12"/>
              </w:rPr>
              <w:t xml:space="preserve"> нефтегазового назначения и их комплексов</w:t>
            </w:r>
          </w:p>
          <w:p w:rsidR="00D73153" w:rsidRPr="00D54DC5" w:rsidRDefault="00D73153" w:rsidP="00D73153">
            <w:pPr>
              <w:rPr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  <w:r w:rsidRPr="00D54DC5">
              <w:rPr>
                <w:sz w:val="12"/>
                <w:szCs w:val="12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D73153" w:rsidRPr="008D70EA" w:rsidRDefault="00D73153" w:rsidP="00D73153">
            <w:pPr>
              <w:rPr>
                <w:b/>
                <w:sz w:val="12"/>
                <w:szCs w:val="12"/>
              </w:rPr>
            </w:pPr>
            <w:r w:rsidRPr="008D70EA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</w:t>
            </w:r>
          </w:p>
          <w:p w:rsidR="00D73153" w:rsidRPr="008D70EA" w:rsidRDefault="00D73153" w:rsidP="00D73153">
            <w:pPr>
              <w:rPr>
                <w:sz w:val="12"/>
                <w:szCs w:val="12"/>
              </w:rPr>
            </w:pPr>
            <w:r w:rsidRPr="008D70EA">
              <w:rPr>
                <w:sz w:val="12"/>
                <w:szCs w:val="12"/>
              </w:rPr>
              <w:t>7.1 Инженерно-технические мероприятия по гражданской обороне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  <w:r w:rsidRPr="008D70EA">
              <w:rPr>
                <w:sz w:val="12"/>
                <w:szCs w:val="12"/>
              </w:rPr>
              <w:t>7.2 Инженерно-технические мероприятия по предупреждению чрезвычайных ситуаций природного и техногенного характера</w:t>
            </w:r>
            <w:r w:rsidRPr="008D70EA">
              <w:rPr>
                <w:b/>
                <w:sz w:val="12"/>
                <w:szCs w:val="12"/>
              </w:rPr>
              <w:t xml:space="preserve"> </w:t>
            </w:r>
          </w:p>
          <w:p w:rsidR="00D73153" w:rsidRPr="008D70EA" w:rsidRDefault="00D73153" w:rsidP="00D73153">
            <w:pPr>
              <w:rPr>
                <w:b/>
                <w:sz w:val="12"/>
                <w:szCs w:val="12"/>
              </w:rPr>
            </w:pPr>
            <w:r w:rsidRPr="008D70EA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</w:p>
          <w:p w:rsidR="00D73153" w:rsidRPr="008D70EA" w:rsidRDefault="00D73153" w:rsidP="00D73153">
            <w:pPr>
              <w:rPr>
                <w:b/>
                <w:sz w:val="12"/>
                <w:szCs w:val="12"/>
              </w:rPr>
            </w:pPr>
            <w:r w:rsidRPr="008D70EA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  <w:r w:rsidRPr="008D70EA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D54DC5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</w:p>
          <w:p w:rsidR="00D73153" w:rsidRPr="00FB1CFD" w:rsidRDefault="00D73153" w:rsidP="00D73153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</w:t>
            </w:r>
            <w:r>
              <w:rPr>
                <w:b/>
                <w:sz w:val="12"/>
                <w:szCs w:val="12"/>
              </w:rPr>
              <w:t>,</w:t>
            </w:r>
            <w:r w:rsidRPr="00FB1CFD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включая</w:t>
            </w:r>
            <w:r w:rsidRPr="00FB1CFD">
              <w:rPr>
                <w:b/>
                <w:sz w:val="12"/>
                <w:szCs w:val="12"/>
              </w:rPr>
              <w:t xml:space="preserve"> особо опасных и технически </w:t>
            </w:r>
            <w:r>
              <w:rPr>
                <w:b/>
                <w:sz w:val="12"/>
                <w:szCs w:val="12"/>
              </w:rPr>
              <w:t>сложные объекты (</w:t>
            </w:r>
            <w:r w:rsidRPr="00CE7ECD">
              <w:rPr>
                <w:b/>
                <w:sz w:val="12"/>
                <w:szCs w:val="12"/>
              </w:rPr>
              <w:t xml:space="preserve">кроме </w:t>
            </w:r>
            <w:r w:rsidRPr="00FB1CFD">
              <w:rPr>
                <w:b/>
                <w:sz w:val="12"/>
                <w:szCs w:val="12"/>
              </w:rPr>
              <w:t>объектов использования атомной энергии):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1.2. Работы по подготовке схемы планировочной организации трассы линейного объекта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 xml:space="preserve">1.3. Работы по подготовке </w:t>
            </w:r>
            <w:proofErr w:type="gramStart"/>
            <w:r w:rsidRPr="00B20142">
              <w:rPr>
                <w:sz w:val="12"/>
                <w:szCs w:val="12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D73153" w:rsidRPr="0001301A" w:rsidRDefault="00D73153" w:rsidP="00D73153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D73153" w:rsidRPr="0001301A" w:rsidRDefault="00D73153" w:rsidP="00D73153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D73153" w:rsidRPr="0001301A" w:rsidRDefault="00D73153" w:rsidP="00D73153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20142">
              <w:rPr>
                <w:sz w:val="12"/>
                <w:szCs w:val="12"/>
              </w:rPr>
              <w:t>противодымной</w:t>
            </w:r>
            <w:proofErr w:type="spellEnd"/>
            <w:r w:rsidRPr="00B20142">
              <w:rPr>
                <w:sz w:val="12"/>
                <w:szCs w:val="12"/>
              </w:rPr>
              <w:t xml:space="preserve"> вентиляции, теплоснабжения и холодоснабжения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4.3. Работы по подготовке проектов внутренних систем электроснабжения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4.4. Работы по подготовке проектов внутренних слаботочных систем</w:t>
            </w:r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B20142">
              <w:rPr>
                <w:b/>
                <w:sz w:val="12"/>
                <w:szCs w:val="12"/>
              </w:rPr>
              <w:tab/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 xml:space="preserve">5.1. Работы по подготовке проектов наружных сетей </w:t>
            </w:r>
            <w:r>
              <w:rPr>
                <w:sz w:val="12"/>
                <w:szCs w:val="12"/>
              </w:rPr>
              <w:t>теплоснабжения и их сооружений</w:t>
            </w:r>
            <w:r>
              <w:rPr>
                <w:sz w:val="12"/>
                <w:szCs w:val="12"/>
              </w:rPr>
              <w:tab/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5.2. Работы по подготовке проектов наружных сетей водоснабжения</w:t>
            </w:r>
            <w:r>
              <w:rPr>
                <w:sz w:val="12"/>
                <w:szCs w:val="12"/>
              </w:rPr>
              <w:t xml:space="preserve"> и канализации и их сооружений</w:t>
            </w:r>
            <w:r>
              <w:rPr>
                <w:sz w:val="12"/>
                <w:szCs w:val="12"/>
              </w:rPr>
              <w:tab/>
            </w:r>
          </w:p>
          <w:p w:rsidR="00D73153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5.3. Работы по подготовке проектов наружных сетей электроснабжения до 35 к</w:t>
            </w:r>
            <w:r>
              <w:rPr>
                <w:sz w:val="12"/>
                <w:szCs w:val="12"/>
              </w:rPr>
              <w:t>В включительно и их сооружений</w:t>
            </w:r>
          </w:p>
          <w:p w:rsidR="00D73153" w:rsidRPr="00B20142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5.6. Работы по подготовке проектов нар</w:t>
            </w:r>
            <w:r>
              <w:rPr>
                <w:sz w:val="12"/>
                <w:szCs w:val="12"/>
              </w:rPr>
              <w:t>ужных сетей слаботочных систем</w:t>
            </w:r>
            <w:r>
              <w:rPr>
                <w:sz w:val="12"/>
                <w:szCs w:val="12"/>
              </w:rPr>
              <w:tab/>
            </w:r>
          </w:p>
          <w:p w:rsidR="00D73153" w:rsidRDefault="00D73153" w:rsidP="00D73153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5.7. Работы по подготовке проектов наружных сетей</w:t>
            </w:r>
            <w:r>
              <w:rPr>
                <w:sz w:val="12"/>
                <w:szCs w:val="12"/>
              </w:rPr>
              <w:t xml:space="preserve"> газоснабжения и их сооружений</w:t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6. Работы по подготовке технологических решений</w:t>
            </w:r>
          </w:p>
          <w:p w:rsidR="00D73153" w:rsidRDefault="00D73153" w:rsidP="00D731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  <w:r>
              <w:t xml:space="preserve"> </w:t>
            </w:r>
            <w:r w:rsidRPr="008D70EA">
              <w:rPr>
                <w:sz w:val="12"/>
                <w:szCs w:val="12"/>
              </w:rPr>
              <w:t xml:space="preserve">Работы по подготовке технологических решений </w:t>
            </w:r>
            <w:r>
              <w:rPr>
                <w:sz w:val="12"/>
                <w:szCs w:val="12"/>
              </w:rPr>
              <w:t xml:space="preserve">общественных зданий и сооружений и </w:t>
            </w:r>
            <w:proofErr w:type="spellStart"/>
            <w:r>
              <w:rPr>
                <w:sz w:val="12"/>
                <w:szCs w:val="12"/>
              </w:rPr>
              <w:t>ихкомплексов</w:t>
            </w:r>
            <w:proofErr w:type="spellEnd"/>
          </w:p>
          <w:p w:rsidR="00D73153" w:rsidRPr="008D70EA" w:rsidRDefault="00D73153" w:rsidP="00D73153">
            <w:pPr>
              <w:rPr>
                <w:sz w:val="12"/>
                <w:szCs w:val="12"/>
              </w:rPr>
            </w:pPr>
            <w:r w:rsidRPr="008D70EA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D73153" w:rsidRDefault="00D73153" w:rsidP="00D73153">
            <w:pPr>
              <w:rPr>
                <w:sz w:val="12"/>
                <w:szCs w:val="12"/>
              </w:rPr>
            </w:pPr>
          </w:p>
          <w:p w:rsidR="00D73153" w:rsidRPr="008D70EA" w:rsidRDefault="00D73153" w:rsidP="00D73153">
            <w:pPr>
              <w:rPr>
                <w:sz w:val="12"/>
                <w:szCs w:val="12"/>
              </w:rPr>
            </w:pPr>
            <w:r w:rsidRPr="008D70EA">
              <w:rPr>
                <w:sz w:val="12"/>
                <w:szCs w:val="12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D73153" w:rsidRPr="008D70EA" w:rsidRDefault="00D73153" w:rsidP="00D73153">
            <w:pPr>
              <w:rPr>
                <w:sz w:val="12"/>
                <w:szCs w:val="12"/>
              </w:rPr>
            </w:pPr>
            <w:r w:rsidRPr="008D70EA">
              <w:rPr>
                <w:sz w:val="12"/>
                <w:szCs w:val="1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D73153" w:rsidRDefault="00D73153" w:rsidP="00D731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6.11.</w:t>
            </w:r>
            <w:r w:rsidRPr="008D70EA">
              <w:rPr>
                <w:sz w:val="12"/>
                <w:szCs w:val="12"/>
              </w:rPr>
              <w:t xml:space="preserve">Работы по подготовке технологических решений объектов </w:t>
            </w:r>
            <w:r>
              <w:rPr>
                <w:sz w:val="12"/>
                <w:szCs w:val="12"/>
              </w:rPr>
              <w:t>военной инфраструктуры и их комплексов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  <w:r w:rsidRPr="008D70EA">
              <w:rPr>
                <w:sz w:val="12"/>
                <w:szCs w:val="12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  <w:r w:rsidRPr="00780B7E">
              <w:rPr>
                <w:b/>
                <w:sz w:val="12"/>
                <w:szCs w:val="12"/>
              </w:rPr>
              <w:t>7.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780B7E">
              <w:rPr>
                <w:b/>
                <w:sz w:val="12"/>
                <w:szCs w:val="12"/>
              </w:rPr>
              <w:t>Работы по разработке специальных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780B7E">
              <w:rPr>
                <w:b/>
                <w:sz w:val="12"/>
                <w:szCs w:val="12"/>
              </w:rPr>
              <w:t>разделов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780B7E">
              <w:rPr>
                <w:b/>
                <w:sz w:val="12"/>
                <w:szCs w:val="12"/>
              </w:rPr>
              <w:t>проектной документации</w:t>
            </w:r>
          </w:p>
          <w:p w:rsidR="00D73153" w:rsidRDefault="00D73153" w:rsidP="00D73153">
            <w:pPr>
              <w:rPr>
                <w:sz w:val="12"/>
                <w:szCs w:val="12"/>
              </w:rPr>
            </w:pPr>
            <w:r w:rsidRPr="00780B7E">
              <w:rPr>
                <w:sz w:val="12"/>
                <w:szCs w:val="12"/>
              </w:rPr>
              <w:t>7.1 Инженерно-технические</w:t>
            </w:r>
            <w:r>
              <w:rPr>
                <w:sz w:val="12"/>
                <w:szCs w:val="12"/>
              </w:rPr>
              <w:t xml:space="preserve"> </w:t>
            </w:r>
            <w:r w:rsidRPr="00780B7E">
              <w:rPr>
                <w:sz w:val="12"/>
                <w:szCs w:val="12"/>
              </w:rPr>
              <w:t>мероприятия по гражданской обороне</w:t>
            </w:r>
          </w:p>
          <w:p w:rsidR="00D73153" w:rsidRDefault="00D73153" w:rsidP="00D73153">
            <w:r>
              <w:rPr>
                <w:sz w:val="12"/>
                <w:szCs w:val="12"/>
              </w:rPr>
              <w:t xml:space="preserve"> 7.2 </w:t>
            </w:r>
            <w:r w:rsidRPr="00780B7E">
              <w:rPr>
                <w:sz w:val="12"/>
                <w:szCs w:val="12"/>
              </w:rPr>
              <w:t>Инженерно-технические мероприятия по</w:t>
            </w:r>
            <w:r>
              <w:rPr>
                <w:sz w:val="12"/>
                <w:szCs w:val="12"/>
              </w:rPr>
              <w:t xml:space="preserve"> предупреждению чрезвычайных ситуаций природного и техногенного характера</w:t>
            </w:r>
            <w:r>
              <w:t xml:space="preserve"> </w:t>
            </w:r>
          </w:p>
          <w:p w:rsidR="00D73153" w:rsidRPr="008D70EA" w:rsidRDefault="00D73153" w:rsidP="00D73153">
            <w:r>
              <w:rPr>
                <w:b/>
                <w:sz w:val="12"/>
                <w:szCs w:val="12"/>
              </w:rPr>
              <w:t xml:space="preserve"> </w:t>
            </w:r>
            <w:r w:rsidRPr="00780B7E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</w:p>
          <w:p w:rsidR="00D73153" w:rsidRPr="00B20142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D73153" w:rsidRDefault="00D73153" w:rsidP="00D73153">
            <w:pPr>
              <w:rPr>
                <w:b/>
                <w:sz w:val="12"/>
                <w:szCs w:val="12"/>
              </w:rPr>
            </w:pPr>
          </w:p>
          <w:p w:rsidR="00D73153" w:rsidRPr="00FB252A" w:rsidRDefault="00D73153" w:rsidP="00D73153">
            <w:pPr>
              <w:rPr>
                <w:b/>
                <w:sz w:val="20"/>
                <w:szCs w:val="20"/>
              </w:rPr>
            </w:pPr>
            <w:r w:rsidRPr="00D54DC5">
              <w:rPr>
                <w:b/>
                <w:sz w:val="12"/>
                <w:szCs w:val="12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составляет 50 000 000 (пятьдесят миллионов) рублей и более.</w:t>
            </w:r>
          </w:p>
        </w:tc>
        <w:tc>
          <w:tcPr>
            <w:tcW w:w="1134" w:type="dxa"/>
            <w:gridSpan w:val="2"/>
          </w:tcPr>
          <w:p w:rsidR="00D73153" w:rsidRPr="00FA543E" w:rsidRDefault="00D73153" w:rsidP="00D125B0">
            <w:pPr>
              <w:rPr>
                <w:sz w:val="20"/>
                <w:szCs w:val="20"/>
              </w:rPr>
            </w:pPr>
            <w:r w:rsidRPr="00FA543E">
              <w:rPr>
                <w:sz w:val="20"/>
                <w:szCs w:val="20"/>
              </w:rPr>
              <w:t>5905011625</w:t>
            </w:r>
          </w:p>
        </w:tc>
        <w:tc>
          <w:tcPr>
            <w:tcW w:w="1418" w:type="dxa"/>
            <w:gridSpan w:val="2"/>
          </w:tcPr>
          <w:p w:rsidR="00D73153" w:rsidRPr="00FA543E" w:rsidRDefault="00D73153" w:rsidP="00D125B0">
            <w:pPr>
              <w:jc w:val="both"/>
              <w:rPr>
                <w:sz w:val="20"/>
                <w:szCs w:val="20"/>
              </w:rPr>
            </w:pPr>
            <w:r w:rsidRPr="00FA543E">
              <w:rPr>
                <w:sz w:val="20"/>
                <w:szCs w:val="20"/>
              </w:rPr>
              <w:t>1025901208882</w:t>
            </w:r>
          </w:p>
        </w:tc>
        <w:tc>
          <w:tcPr>
            <w:tcW w:w="1276" w:type="dxa"/>
          </w:tcPr>
          <w:p w:rsidR="00D73153" w:rsidRDefault="00D73153" w:rsidP="00D73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614055,</w:t>
            </w:r>
          </w:p>
          <w:p w:rsidR="00D73153" w:rsidRDefault="00D73153" w:rsidP="00D73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Пермский край,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ермь,</w:t>
            </w:r>
          </w:p>
          <w:p w:rsidR="00D73153" w:rsidRPr="00FB252A" w:rsidRDefault="00D73153" w:rsidP="00D7315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Промышленная , 84Б</w:t>
            </w:r>
          </w:p>
        </w:tc>
      </w:tr>
      <w:tr w:rsidR="00D73153" w:rsidRPr="00FA543E" w:rsidTr="00D73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73153" w:rsidRPr="00FA543E" w:rsidRDefault="00D73153" w:rsidP="00336FF0"/>
          <w:p w:rsidR="00D73153" w:rsidRPr="00FA543E" w:rsidRDefault="00D73153" w:rsidP="00336FF0"/>
          <w:p w:rsidR="00D73153" w:rsidRPr="00FA543E" w:rsidRDefault="00D73153" w:rsidP="00336FF0"/>
          <w:p w:rsidR="00D73153" w:rsidRPr="00FA543E" w:rsidRDefault="00D73153" w:rsidP="00336FF0">
            <w:r w:rsidRPr="00FA543E">
              <w:t>Председатель Совета НП СРО «Нефтегазпроект-Альянс»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153" w:rsidRPr="00FA543E" w:rsidRDefault="00D73153" w:rsidP="00336FF0"/>
        </w:tc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73153" w:rsidRPr="00FA543E" w:rsidRDefault="00D73153" w:rsidP="00336FF0"/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153" w:rsidRPr="00FA543E" w:rsidRDefault="00D73153" w:rsidP="00336FF0"/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3153" w:rsidRPr="00FA543E" w:rsidRDefault="00D73153" w:rsidP="00336FF0">
            <w:pPr>
              <w:jc w:val="right"/>
            </w:pPr>
          </w:p>
          <w:p w:rsidR="00D73153" w:rsidRPr="00FA543E" w:rsidRDefault="00D73153" w:rsidP="00336FF0">
            <w:pPr>
              <w:jc w:val="right"/>
            </w:pPr>
          </w:p>
          <w:p w:rsidR="00D73153" w:rsidRPr="00FA543E" w:rsidRDefault="00D73153" w:rsidP="00336FF0">
            <w:pPr>
              <w:jc w:val="right"/>
            </w:pPr>
          </w:p>
          <w:p w:rsidR="00D73153" w:rsidRPr="00FA543E" w:rsidRDefault="00D73153" w:rsidP="00336FF0">
            <w:pPr>
              <w:jc w:val="right"/>
            </w:pPr>
            <w:r w:rsidRPr="00FA543E">
              <w:t>И.А. Заикин</w:t>
            </w:r>
          </w:p>
        </w:tc>
      </w:tr>
    </w:tbl>
    <w:p w:rsidR="00716D42" w:rsidRPr="000063FD" w:rsidRDefault="00716D42" w:rsidP="00EE6B86">
      <w:pPr>
        <w:spacing w:line="276" w:lineRule="auto"/>
        <w:jc w:val="center"/>
        <w:rPr>
          <w:sz w:val="26"/>
          <w:szCs w:val="26"/>
        </w:rPr>
      </w:pPr>
    </w:p>
    <w:sectPr w:rsidR="00716D42" w:rsidRPr="000063FD" w:rsidSect="00EE6B86">
      <w:headerReference w:type="default" r:id="rId11"/>
      <w:headerReference w:type="first" r:id="rId12"/>
      <w:pgSz w:w="16840" w:h="11907" w:orient="landscape" w:code="9"/>
      <w:pgMar w:top="567" w:right="538" w:bottom="142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18" w:rsidRDefault="00172B18" w:rsidP="00D34C00">
      <w:r>
        <w:separator/>
      </w:r>
    </w:p>
  </w:endnote>
  <w:endnote w:type="continuationSeparator" w:id="0">
    <w:p w:rsidR="00172B18" w:rsidRDefault="00172B18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18" w:rsidRDefault="00172B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B18" w:rsidRDefault="00172B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211"/>
      <w:docPartObj>
        <w:docPartGallery w:val="Page Numbers (Bottom of Page)"/>
        <w:docPartUnique/>
      </w:docPartObj>
    </w:sdtPr>
    <w:sdtEndPr/>
    <w:sdtContent>
      <w:p w:rsidR="00172B18" w:rsidRDefault="00BC5B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B18" w:rsidRDefault="00172B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18" w:rsidRDefault="00172B18" w:rsidP="00D34C00">
      <w:r>
        <w:separator/>
      </w:r>
    </w:p>
  </w:footnote>
  <w:footnote w:type="continuationSeparator" w:id="0">
    <w:p w:rsidR="00172B18" w:rsidRDefault="00172B18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18" w:rsidRPr="00EE6B86" w:rsidRDefault="00172B18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172B18" w:rsidRPr="00EE6B86" w:rsidRDefault="00172B18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«Нефтегазпроект-Альянс»</w:t>
    </w:r>
  </w:p>
  <w:p w:rsidR="00172B18" w:rsidRPr="00EE6B86" w:rsidRDefault="00172B18" w:rsidP="00B0739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23.12.2015 № 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18" w:rsidRPr="00A84BA1" w:rsidRDefault="00172B18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172B18" w:rsidRPr="00A84BA1" w:rsidRDefault="00172B18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172B18" w:rsidRPr="00A84BA1" w:rsidRDefault="00172B18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2B18"/>
    <w:rsid w:val="00174D5D"/>
    <w:rsid w:val="00175DCF"/>
    <w:rsid w:val="00175FCC"/>
    <w:rsid w:val="001769FB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52A3"/>
    <w:rsid w:val="002567DB"/>
    <w:rsid w:val="002573E3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245F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4C6D"/>
    <w:rsid w:val="006752C5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5D66"/>
    <w:rsid w:val="0084681E"/>
    <w:rsid w:val="00852F6F"/>
    <w:rsid w:val="008535D2"/>
    <w:rsid w:val="00853DC0"/>
    <w:rsid w:val="00862F22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465D8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0386"/>
    <w:rsid w:val="00A93B8E"/>
    <w:rsid w:val="00AA0313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B3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C5B6D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315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1C30"/>
    <w:rsid w:val="00DE4997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543E"/>
    <w:rsid w:val="00FA77FF"/>
    <w:rsid w:val="00FB1CFD"/>
    <w:rsid w:val="00FB252A"/>
    <w:rsid w:val="00FB7A77"/>
    <w:rsid w:val="00FB7D10"/>
    <w:rsid w:val="00FC02C2"/>
    <w:rsid w:val="00FC049F"/>
    <w:rsid w:val="00FC1E9E"/>
    <w:rsid w:val="00FC25AC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06B0-32B4-4568-BC5D-8E780E5B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Григорий</cp:lastModifiedBy>
  <cp:revision>4</cp:revision>
  <cp:lastPrinted>2015-12-22T07:14:00Z</cp:lastPrinted>
  <dcterms:created xsi:type="dcterms:W3CDTF">2015-12-21T14:01:00Z</dcterms:created>
  <dcterms:modified xsi:type="dcterms:W3CDTF">2015-12-23T09:05:00Z</dcterms:modified>
</cp:coreProperties>
</file>