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A" w:rsidRDefault="00A6069A"/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723561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23561">
              <w:rPr>
                <w:sz w:val="24"/>
                <w:szCs w:val="24"/>
              </w:rPr>
              <w:t>В редакции решения общего собрания членов Ассоциации СРО «</w:t>
            </w:r>
            <w:proofErr w:type="spellStart"/>
            <w:r w:rsidRPr="00723561">
              <w:rPr>
                <w:sz w:val="24"/>
                <w:szCs w:val="24"/>
              </w:rPr>
              <w:t>Нефтегазпроект</w:t>
            </w:r>
            <w:proofErr w:type="spellEnd"/>
            <w:r w:rsidRPr="00723561">
              <w:rPr>
                <w:sz w:val="24"/>
                <w:szCs w:val="24"/>
              </w:rPr>
              <w:t xml:space="preserve">-Альянс», протокол от </w:t>
            </w:r>
            <w:r w:rsidR="00D67E2B">
              <w:rPr>
                <w:sz w:val="24"/>
                <w:szCs w:val="24"/>
              </w:rPr>
              <w:t>22</w:t>
            </w:r>
            <w:r w:rsidRPr="00723561">
              <w:rPr>
                <w:sz w:val="24"/>
                <w:szCs w:val="24"/>
              </w:rPr>
              <w:t>.</w:t>
            </w:r>
            <w:r w:rsidR="00D67E2B">
              <w:rPr>
                <w:sz w:val="24"/>
                <w:szCs w:val="24"/>
              </w:rPr>
              <w:t>12</w:t>
            </w:r>
            <w:r w:rsidRPr="00723561">
              <w:rPr>
                <w:sz w:val="24"/>
                <w:szCs w:val="24"/>
              </w:rPr>
              <w:t>.20</w:t>
            </w:r>
            <w:r w:rsidR="00F23D3B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5F121E">
              <w:rPr>
                <w:sz w:val="24"/>
                <w:szCs w:val="24"/>
              </w:rPr>
              <w:t>2</w:t>
            </w:r>
            <w:r w:rsidRPr="00723561">
              <w:rPr>
                <w:sz w:val="24"/>
                <w:szCs w:val="24"/>
              </w:rPr>
              <w:t xml:space="preserve"> № </w:t>
            </w:r>
            <w:r w:rsidR="00F23D3B">
              <w:rPr>
                <w:sz w:val="24"/>
                <w:szCs w:val="24"/>
              </w:rPr>
              <w:t>3</w:t>
            </w:r>
            <w:r w:rsidR="00D67E2B">
              <w:rPr>
                <w:sz w:val="24"/>
                <w:szCs w:val="24"/>
              </w:rPr>
              <w:t>9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D710B" w:rsidRDefault="006C5B7F" w:rsidP="006C3BA7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6C3BA7" w:rsidRPr="003B318E">
              <w:rPr>
                <w:sz w:val="24"/>
                <w:szCs w:val="24"/>
              </w:rPr>
              <w:t>Ю</w:t>
            </w:r>
            <w:r w:rsidR="004A557A" w:rsidRPr="003B318E">
              <w:rPr>
                <w:sz w:val="24"/>
                <w:szCs w:val="24"/>
              </w:rPr>
              <w:t>.</w:t>
            </w:r>
            <w:r w:rsidR="006C3BA7" w:rsidRPr="003B318E">
              <w:rPr>
                <w:sz w:val="24"/>
                <w:szCs w:val="24"/>
              </w:rPr>
              <w:t>В</w:t>
            </w:r>
            <w:r w:rsidR="004A557A" w:rsidRPr="003B318E">
              <w:rPr>
                <w:sz w:val="24"/>
                <w:szCs w:val="24"/>
              </w:rPr>
              <w:t xml:space="preserve">. </w:t>
            </w:r>
            <w:r w:rsidR="006C3BA7" w:rsidRPr="003B318E">
              <w:rPr>
                <w:sz w:val="24"/>
                <w:szCs w:val="24"/>
              </w:rPr>
              <w:t>Алешин</w:t>
            </w: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</w:tbl>
    <w:p w:rsidR="007D710B" w:rsidRDefault="007D710B" w:rsidP="00A67C53"/>
    <w:p w:rsidR="007D710B" w:rsidRDefault="007D710B" w:rsidP="00A67C53"/>
    <w:p w:rsidR="00723561" w:rsidRDefault="00723561" w:rsidP="00A67C53"/>
    <w:p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C21DC" w:rsidRDefault="007C21DC" w:rsidP="00A67C53"/>
    <w:p w:rsidR="007D710B" w:rsidRDefault="007D710B" w:rsidP="00A67C53"/>
    <w:p w:rsidR="007D710B" w:rsidRDefault="007D710B" w:rsidP="00A67C53"/>
    <w:p w:rsidR="009558A5" w:rsidRDefault="009558A5" w:rsidP="0071361D">
      <w:pPr>
        <w:ind w:firstLine="0"/>
        <w:rPr>
          <w:sz w:val="24"/>
          <w:szCs w:val="24"/>
        </w:rPr>
      </w:pPr>
    </w:p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:rsidR="007D710B" w:rsidRPr="006C5B7F" w:rsidRDefault="005F121E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126923" w:rsidRPr="00235A45" w:rsidRDefault="00A67C53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:rsidR="00A67C53" w:rsidRDefault="00CC7737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:rsidR="00CC7737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  <w:r w:rsidR="0057651F">
        <w:t xml:space="preserve"> </w:t>
      </w:r>
      <w:r w:rsidR="00CC7737"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 w:rsidR="00CC7737">
        <w:t>.</w:t>
      </w:r>
    </w:p>
    <w:p w:rsidR="00252490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>Настоящее Положение</w:t>
      </w:r>
      <w:r w:rsidR="008A79B4">
        <w:t xml:space="preserve"> </w:t>
      </w:r>
      <w:r>
        <w:t>устанавливает: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:rsidR="00252490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:rsidR="00816A5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:rsidR="009617F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:rsidR="00816A58" w:rsidRDefault="009617F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иные требования</w:t>
      </w:r>
      <w:r w:rsidR="00816A58">
        <w:rPr>
          <w:lang w:eastAsia="ru-RU"/>
        </w:rPr>
        <w:t>.</w:t>
      </w:r>
    </w:p>
    <w:p w:rsidR="00464685" w:rsidRDefault="00294297" w:rsidP="00CD3680">
      <w:pPr>
        <w:pStyle w:val="af7"/>
        <w:numPr>
          <w:ilvl w:val="1"/>
          <w:numId w:val="11"/>
        </w:numPr>
        <w:spacing w:line="276" w:lineRule="auto"/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:rsidR="00706180" w:rsidRDefault="00706180" w:rsidP="00723561">
      <w:pPr>
        <w:pStyle w:val="af7"/>
        <w:spacing w:line="276" w:lineRule="auto"/>
        <w:ind w:left="0" w:firstLine="0"/>
      </w:pPr>
    </w:p>
    <w:p w:rsidR="006F401E" w:rsidRDefault="00D46018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Общие требования </w:t>
      </w:r>
    </w:p>
    <w:p w:rsidR="0026746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</w:t>
      </w:r>
      <w:r w:rsidR="00474BB0">
        <w:lastRenderedPageBreak/>
        <w:t>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:rsidR="002E70BC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:rsidR="006A364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:rsidR="008A79B4" w:rsidRDefault="008A79B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:rsidR="000E383A" w:rsidRDefault="000E383A" w:rsidP="00CD3680">
      <w:pPr>
        <w:pStyle w:val="af7"/>
        <w:numPr>
          <w:ilvl w:val="1"/>
          <w:numId w:val="11"/>
        </w:numPr>
        <w:spacing w:line="276" w:lineRule="auto"/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:rsidR="005B54EE" w:rsidRDefault="005B54E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:rsidR="00EC1D36" w:rsidRDefault="00C558F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</w:t>
      </w:r>
      <w:r>
        <w:lastRenderedPageBreak/>
        <w:t>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:rsidR="00C558F2" w:rsidRDefault="00C558F2" w:rsidP="00723561">
      <w:pPr>
        <w:pStyle w:val="af7"/>
        <w:spacing w:line="276" w:lineRule="auto"/>
        <w:ind w:left="0" w:firstLine="0"/>
      </w:pPr>
    </w:p>
    <w:p w:rsidR="00C558F2" w:rsidRDefault="00C558F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:rsidR="004E6A3F" w:rsidRDefault="00A96A35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:rsidR="00A96A35" w:rsidRDefault="004E6A3F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:rsidR="00B20F02" w:rsidRDefault="00C46686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:rsidR="00C46686" w:rsidRDefault="002776E0" w:rsidP="00CD3680">
      <w:pPr>
        <w:pStyle w:val="af7"/>
        <w:numPr>
          <w:ilvl w:val="2"/>
          <w:numId w:val="11"/>
        </w:numPr>
        <w:spacing w:line="276" w:lineRule="auto"/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:rsidR="002776E0" w:rsidRDefault="002776E0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:rsidR="00C91A79" w:rsidRDefault="00C91A79" w:rsidP="00CD3680">
      <w:pPr>
        <w:pStyle w:val="af7"/>
        <w:numPr>
          <w:ilvl w:val="1"/>
          <w:numId w:val="11"/>
        </w:numPr>
        <w:spacing w:line="276" w:lineRule="auto"/>
      </w:pPr>
      <w:r w:rsidRPr="00C91A79">
        <w:lastRenderedPageBreak/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t>.</w:t>
      </w:r>
    </w:p>
    <w:p w:rsidR="006905DD" w:rsidRDefault="006905DD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  <w:proofErr w:type="gramEnd"/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:rsidR="00956B8E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AB3E5A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:rsidR="001B62AA" w:rsidRDefault="001B62AA" w:rsidP="00CC7C98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 xml:space="preserve">если в штатное расписание такого члена включены должности, в отношении выполняемых работ по которым осуществляется надзор указанной </w:t>
      </w:r>
      <w:r w:rsidRPr="009238BA">
        <w:lastRenderedPageBreak/>
        <w:t>Службой и замещение которых допускается только работниками, прошедшими такую аттестацию;</w:t>
      </w:r>
      <w:proofErr w:type="gramEnd"/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</w:t>
      </w:r>
      <w:proofErr w:type="gramStart"/>
      <w:r w:rsidRPr="001B62AA">
        <w:t>качества</w:t>
      </w:r>
      <w:proofErr w:type="gramEnd"/>
      <w:r w:rsidRPr="001B62AA">
        <w:t xml:space="preserve">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:rsidR="00594FF7" w:rsidRPr="009238BA" w:rsidRDefault="0071125C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:rsidR="0071125C" w:rsidRPr="001444F5" w:rsidRDefault="0021041C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1444F5">
        <w:t xml:space="preserve">Специалисты по организации архитектурно-строительного проектирования, сведения о которых заявляются для подтверждения соответствия требованиям, </w:t>
      </w:r>
      <w:r w:rsidR="00D02B98" w:rsidRPr="001444F5">
        <w:t xml:space="preserve"> должны являться физическими лицами,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</w:t>
      </w:r>
      <w:r w:rsidR="00594FBE" w:rsidRPr="001444F5">
        <w:t xml:space="preserve"> </w:t>
      </w:r>
      <w:r w:rsidR="00D02B98" w:rsidRPr="001444F5">
        <w:t>должности главного инженера проекта, главного архитектора проекта</w:t>
      </w:r>
      <w:r w:rsidRPr="001444F5">
        <w:t>.</w:t>
      </w:r>
      <w:proofErr w:type="gramEnd"/>
      <w:r w:rsidRPr="001444F5">
        <w:t xml:space="preserve"> К должностным </w:t>
      </w:r>
      <w:r w:rsidR="009238BA" w:rsidRPr="001444F5">
        <w:t>обязанностям</w:t>
      </w:r>
      <w:r w:rsidRPr="001444F5">
        <w:t xml:space="preserve"> таких </w:t>
      </w:r>
      <w:proofErr w:type="gramStart"/>
      <w:r w:rsidRPr="001444F5">
        <w:t>специалистов</w:t>
      </w:r>
      <w:proofErr w:type="gramEnd"/>
      <w:r w:rsidRPr="001444F5">
        <w:t xml:space="preserve"> </w:t>
      </w:r>
      <w:r w:rsidR="00D02B98" w:rsidRPr="001444F5">
        <w:t xml:space="preserve">в том числе </w:t>
      </w:r>
      <w:r w:rsidRPr="001444F5">
        <w:t>должны относиться:</w:t>
      </w:r>
    </w:p>
    <w:p w:rsidR="0071125C" w:rsidRPr="001444F5" w:rsidRDefault="00D02B98" w:rsidP="00723561">
      <w:pPr>
        <w:pStyle w:val="af7"/>
        <w:spacing w:line="276" w:lineRule="auto"/>
        <w:ind w:left="0" w:firstLine="0"/>
      </w:pPr>
      <w:r w:rsidRPr="001444F5">
        <w:t>- утверждение заданий на проектирование объекта капитального строительства;</w:t>
      </w:r>
    </w:p>
    <w:p w:rsidR="00D02B98" w:rsidRPr="001444F5" w:rsidRDefault="00D02B98" w:rsidP="00723561">
      <w:pPr>
        <w:pStyle w:val="af7"/>
        <w:spacing w:line="276" w:lineRule="auto"/>
        <w:ind w:left="0" w:firstLine="0"/>
      </w:pPr>
      <w:r w:rsidRPr="001444F5">
        <w:t>- представление, согласование и приемка результатов работ по подготовке проектной документации;</w:t>
      </w:r>
    </w:p>
    <w:p w:rsidR="00D02B98" w:rsidRDefault="00D02B98" w:rsidP="00723561">
      <w:pPr>
        <w:pStyle w:val="af7"/>
        <w:spacing w:line="276" w:lineRule="auto"/>
        <w:ind w:left="0" w:firstLine="0"/>
      </w:pPr>
      <w:r w:rsidRPr="001444F5">
        <w:t>- утверждение проектной документации.</w:t>
      </w:r>
    </w:p>
    <w:p w:rsidR="0071125C" w:rsidRPr="0082400D" w:rsidRDefault="0071125C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82400D">
        <w:rPr>
          <w:b/>
        </w:rPr>
        <w:t xml:space="preserve">Порядок приема в члены </w:t>
      </w:r>
      <w:r w:rsidR="00C46D71" w:rsidRPr="0082400D">
        <w:rPr>
          <w:b/>
        </w:rPr>
        <w:t>Ассоциации</w:t>
      </w:r>
    </w:p>
    <w:p w:rsidR="0071125C" w:rsidRPr="0082400D" w:rsidRDefault="00ED4861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:rsidR="00FC5A19" w:rsidRPr="0082400D" w:rsidRDefault="00FC5A19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</w:t>
      </w:r>
      <w:r w:rsidRPr="00FC5A19">
        <w:lastRenderedPageBreak/>
        <w:t>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:rsidR="00E6276A" w:rsidRDefault="00E6276A" w:rsidP="00CD3680">
      <w:pPr>
        <w:pStyle w:val="af7"/>
        <w:numPr>
          <w:ilvl w:val="3"/>
          <w:numId w:val="11"/>
        </w:numPr>
        <w:spacing w:line="276" w:lineRule="auto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:rsidR="005B54EE" w:rsidRPr="009238BA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:rsidR="00E6276A" w:rsidRPr="009238BA" w:rsidRDefault="00E6276A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  <w:proofErr w:type="gramEnd"/>
    </w:p>
    <w:p w:rsidR="00B70FEF" w:rsidRDefault="00B70FEF" w:rsidP="00CD3680">
      <w:pPr>
        <w:pStyle w:val="af7"/>
        <w:numPr>
          <w:ilvl w:val="1"/>
          <w:numId w:val="11"/>
        </w:numPr>
        <w:spacing w:line="276" w:lineRule="auto"/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:rsidR="00B70FEF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4232" w:rsidRDefault="006E498A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E498A">
        <w:t xml:space="preserve">в национальное объединение саморегулируемых организаций, основанных на членстве лиц, выполняющих инженерные изыскания, и саморегулируемых </w:t>
      </w:r>
      <w:r w:rsidRPr="006E498A">
        <w:lastRenderedPageBreak/>
        <w:t>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:rsidR="00594232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:rsidR="00594232" w:rsidRDefault="00BE7A3B" w:rsidP="00CD3680">
      <w:pPr>
        <w:pStyle w:val="af7"/>
        <w:numPr>
          <w:ilvl w:val="1"/>
          <w:numId w:val="11"/>
        </w:numPr>
        <w:spacing w:line="276" w:lineRule="auto"/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:rsidR="00BE7A3B" w:rsidRPr="00516A1E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непредставление заявителем в полном объеме документов, предусмотренных п. 4.2. Положения;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:rsidR="00894947" w:rsidRPr="00516A1E" w:rsidRDefault="007454D8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в </w:t>
      </w:r>
      <w:r w:rsidR="00894947" w:rsidRPr="00516A1E">
        <w:t xml:space="preserve">случае прекращения </w:t>
      </w:r>
      <w:r w:rsidR="00721985" w:rsidRPr="00516A1E">
        <w:t>заявителем</w:t>
      </w:r>
      <w:r w:rsidR="00894947"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:rsidR="00BE7A3B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</w:t>
      </w:r>
      <w:r w:rsidRPr="00BE7A3B">
        <w:lastRenderedPageBreak/>
        <w:t xml:space="preserve">обязательств саморегулируемой организации, членом которой ранее </w:t>
      </w:r>
      <w:r w:rsidR="00A445E1">
        <w:t>являлся заявитель;</w:t>
      </w:r>
    </w:p>
    <w:p w:rsidR="00A445E1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:rsidR="00894947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включение информации 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C5B7F">
        <w:t>;</w:t>
      </w:r>
    </w:p>
    <w:p w:rsidR="006C5B7F" w:rsidRPr="006C5B7F" w:rsidRDefault="006C5B7F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C5B7F">
        <w:t>в иных случаях, установленных федеральным законом.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:rsidR="005B54EE" w:rsidRDefault="005B54E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7C21DC" w:rsidRPr="004D4947" w:rsidRDefault="007C21D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в отношении каждого лица, принятого в члены, ведет дело члена Ассоциации. В состав такого дела входят: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lastRenderedPageBreak/>
        <w:t>документы об уплате взноса (взносов) в компенсационный фонд (компенсационные фонды)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 xml:space="preserve">документы о результатах осуществления Ассоциацией </w:t>
      </w:r>
      <w:proofErr w:type="gramStart"/>
      <w:r w:rsidRPr="004D4947">
        <w:t>контроля за</w:t>
      </w:r>
      <w:proofErr w:type="gramEnd"/>
      <w:r w:rsidRPr="004D4947">
        <w:t xml:space="preserve"> деятельностью ее члена;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 мерах дисциплинарного воздействия, принятых Ассоциацией в отношении ее члена;</w:t>
      </w:r>
    </w:p>
    <w:p w:rsidR="007C21DC" w:rsidRPr="004D4947" w:rsidRDefault="00CF0BA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7B1371" w:rsidRDefault="007B1371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B1371" w:rsidRPr="007B1371" w:rsidRDefault="007B1371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:rsidR="007B1371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:rsidR="007B1371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lastRenderedPageBreak/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:rsidR="00C018F2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:rsidR="005430EA" w:rsidRDefault="005430EA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:rsidR="00F33386" w:rsidRDefault="00F33386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21985" w:rsidRDefault="00F33386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:rsidR="00F33386" w:rsidRPr="00F33386" w:rsidRDefault="00F3338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:rsidR="00F33386" w:rsidRPr="00B318BE" w:rsidRDefault="00B318B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:rsidR="00CF6808" w:rsidRPr="00CF6808" w:rsidRDefault="00C46D71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lastRenderedPageBreak/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:rsidR="00956B8E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  <w:r w:rsidR="00C7036A">
        <w:t>;</w:t>
      </w:r>
    </w:p>
    <w:p w:rsidR="00B23FE6" w:rsidRDefault="00956B8E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в иных случаях, установленных законодательством Российской Федерации</w:t>
      </w:r>
      <w:r w:rsidR="001A235C">
        <w:t>.</w:t>
      </w:r>
    </w:p>
    <w:p w:rsidR="00C558F2" w:rsidRPr="00E90C5F" w:rsidRDefault="00E90C5F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:rsidR="00E90C5F" w:rsidRPr="001A235C" w:rsidRDefault="001A235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:rsidR="002776E0" w:rsidRDefault="002776E0" w:rsidP="00723561">
      <w:pPr>
        <w:pStyle w:val="af7"/>
        <w:tabs>
          <w:tab w:val="left" w:pos="284"/>
        </w:tabs>
        <w:spacing w:line="276" w:lineRule="auto"/>
        <w:ind w:left="0" w:firstLine="0"/>
        <w:rPr>
          <w:b/>
        </w:rPr>
      </w:pPr>
    </w:p>
    <w:p w:rsidR="00B667F2" w:rsidRPr="00EC1D36" w:rsidRDefault="00F6454E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F6454E" w:rsidRPr="00516A1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:rsidR="00220234" w:rsidRPr="001444F5" w:rsidRDefault="005F121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</w:t>
      </w:r>
      <w:r w:rsidRPr="001444F5">
        <w:t xml:space="preserve">Регулярный членский взнос является ежегодным и уплачивается </w:t>
      </w:r>
      <w:r w:rsidR="00287907" w:rsidRPr="001444F5">
        <w:t>за</w:t>
      </w:r>
      <w:r w:rsidRPr="001444F5">
        <w:t xml:space="preserve"> текущ</w:t>
      </w:r>
      <w:r w:rsidR="00287907" w:rsidRPr="001444F5">
        <w:t>ий</w:t>
      </w:r>
      <w:r w:rsidRPr="001444F5">
        <w:t xml:space="preserve"> год – календарный год, в котором плательщик</w:t>
      </w:r>
      <w:r w:rsidR="00287907" w:rsidRPr="001444F5">
        <w:t xml:space="preserve"> взносов является членом Ассоциации, если иное не предусмотрено Положением</w:t>
      </w:r>
      <w:r w:rsidR="00220234" w:rsidRPr="001444F5">
        <w:t>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</w:t>
      </w:r>
      <w:r w:rsidR="005F121E">
        <w:t xml:space="preserve">текущего </w:t>
      </w:r>
      <w:r>
        <w:t xml:space="preserve">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:rsidR="005F121E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Размер регулярного членского взноса исчисляется</w:t>
      </w:r>
      <w:r w:rsidR="00C516E3" w:rsidRPr="001444F5">
        <w:t xml:space="preserve"> плательщиком взносов</w:t>
      </w:r>
      <w:r w:rsidR="0024358E" w:rsidRPr="001444F5">
        <w:t xml:space="preserve"> по правилам, установленным Положением,</w:t>
      </w:r>
      <w:r w:rsidRPr="001444F5">
        <w:t xml:space="preserve"> на основании</w:t>
      </w:r>
      <w:r w:rsidR="005F121E" w:rsidRPr="001444F5">
        <w:t>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вида деятельности в сфере проектирования;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уровня ответственности по обязате</w:t>
      </w:r>
      <w:r w:rsidR="00C94CD8" w:rsidRPr="001444F5">
        <w:t>льствам, в соответствии с котор</w:t>
      </w:r>
      <w:r w:rsidR="005F121E" w:rsidRPr="001444F5">
        <w:t>ым членом Ассоциации внесен взнос в компенсационный фонд возмещения вреда: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 xml:space="preserve">уровня ответственности по </w:t>
      </w:r>
      <w:r w:rsidR="0024546B" w:rsidRPr="001444F5">
        <w:t>обязательствам, в соответствии с которым членом Ассоциации внесен взнос в компенсационный фонд обеспечения договорных обязательств, а также</w:t>
      </w:r>
      <w:r w:rsidR="008F041A" w:rsidRPr="001444F5">
        <w:t xml:space="preserve"> иных</w:t>
      </w:r>
      <w:r w:rsidR="0024546B" w:rsidRPr="001444F5">
        <w:t xml:space="preserve"> </w:t>
      </w:r>
      <w:r w:rsidR="009A556D" w:rsidRPr="001444F5">
        <w:t>сведений, пред</w:t>
      </w:r>
      <w:r w:rsidR="00F6454E" w:rsidRPr="001444F5">
        <w:t xml:space="preserve">ставленных </w:t>
      </w:r>
      <w:r w:rsidR="0024358E" w:rsidRPr="001444F5">
        <w:t xml:space="preserve">в </w:t>
      </w:r>
      <w:r w:rsidR="00C46D71" w:rsidRPr="001444F5">
        <w:t>Ассоциацию</w:t>
      </w:r>
      <w:r w:rsidR="0024358E" w:rsidRPr="001444F5">
        <w:t xml:space="preserve"> </w:t>
      </w:r>
      <w:r w:rsidR="00F6454E" w:rsidRPr="001444F5">
        <w:t>плательщиком взносов</w:t>
      </w:r>
      <w:r w:rsidR="009A556D" w:rsidRPr="001444F5">
        <w:t xml:space="preserve">. </w:t>
      </w:r>
    </w:p>
    <w:p w:rsidR="009A556D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Сведения, необходимые для исчисления размера регулярного членского взноса</w:t>
      </w:r>
      <w:r w:rsidR="00F6454E" w:rsidRPr="001444F5">
        <w:t xml:space="preserve"> </w:t>
      </w:r>
      <w:r w:rsidRPr="001444F5">
        <w:t xml:space="preserve">должны быть представлены плательщиком взноса в </w:t>
      </w:r>
      <w:r w:rsidR="00D92A51" w:rsidRPr="001444F5">
        <w:t>форме письменного отчета</w:t>
      </w:r>
      <w:r w:rsidR="0024546B" w:rsidRPr="001444F5">
        <w:t>, утверждаемой Ассоциацией</w:t>
      </w:r>
      <w:r w:rsidR="000E5071" w:rsidRPr="001444F5">
        <w:t>,</w:t>
      </w:r>
      <w:r w:rsidRPr="001444F5">
        <w:t xml:space="preserve"> не позднее </w:t>
      </w:r>
      <w:r w:rsidR="00EA68AF" w:rsidRPr="001444F5">
        <w:t>первого</w:t>
      </w:r>
      <w:r w:rsidRPr="001444F5">
        <w:t xml:space="preserve"> марта </w:t>
      </w:r>
      <w:r w:rsidR="0024546B" w:rsidRPr="001444F5">
        <w:t xml:space="preserve">текущего </w:t>
      </w:r>
      <w:r w:rsidRPr="001444F5">
        <w:t xml:space="preserve">года, если иное не предусмотрено </w:t>
      </w:r>
      <w:r w:rsidR="00C52F1A" w:rsidRPr="001444F5">
        <w:t>П</w:t>
      </w:r>
      <w:r w:rsidRPr="001444F5">
        <w:t>оложением.</w:t>
      </w:r>
    </w:p>
    <w:p w:rsidR="00677DC4" w:rsidRDefault="00677DC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</w:t>
      </w:r>
      <w:r w:rsidR="00C46D71">
        <w:t>Ассоциации</w:t>
      </w:r>
      <w:r>
        <w:t xml:space="preserve"> которых принято в </w:t>
      </w:r>
      <w:r w:rsidR="0024546B">
        <w:t xml:space="preserve">текущем </w:t>
      </w:r>
      <w:r>
        <w:t xml:space="preserve">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>, и уплатить регулярный членский взнос</w:t>
      </w:r>
      <w:r w:rsidR="0024546B">
        <w:t>, если иное не предусмотрено Положением</w:t>
      </w:r>
      <w:r>
        <w:t xml:space="preserve">. 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:rsidR="00257755" w:rsidRPr="001444F5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Ассоциация</w:t>
      </w:r>
      <w:r w:rsidR="00C52F1A" w:rsidRPr="001444F5">
        <w:t xml:space="preserve"> вправе самостоятельно исчислить размер подлежащего уплате взноса</w:t>
      </w:r>
      <w:r w:rsidR="0024358E" w:rsidRPr="001444F5">
        <w:t xml:space="preserve"> в соответствии с Положением</w:t>
      </w:r>
      <w:r w:rsidR="00C52F1A" w:rsidRPr="001444F5">
        <w:t>, в том числе п</w:t>
      </w:r>
      <w:r w:rsidR="00E76851" w:rsidRPr="001444F5">
        <w:t>ри выявлении обстоятельств, свидетельствующих о недобросовестны</w:t>
      </w:r>
      <w:r w:rsidR="00C52F1A" w:rsidRPr="001444F5">
        <w:t xml:space="preserve">х действиях плательщика взносов в виде </w:t>
      </w:r>
      <w:r w:rsidR="00C52F1A" w:rsidRPr="001444F5">
        <w:lastRenderedPageBreak/>
        <w:t>сообщения недостоверных сведений</w:t>
      </w:r>
      <w:r w:rsidR="0024546B" w:rsidRPr="001444F5">
        <w:t xml:space="preserve"> или несвоевременного предоставления сведений, необход</w:t>
      </w:r>
      <w:r w:rsidR="00F14DF4" w:rsidRPr="001444F5">
        <w:t>имых для исчисления размера регу</w:t>
      </w:r>
      <w:r w:rsidR="0024546B" w:rsidRPr="001444F5">
        <w:t>лярного членского взноса</w:t>
      </w:r>
      <w:r w:rsidR="00E76851" w:rsidRPr="001444F5">
        <w:t>.</w:t>
      </w:r>
    </w:p>
    <w:p w:rsidR="003779F4" w:rsidRDefault="00C52F1A" w:rsidP="00CD3680">
      <w:pPr>
        <w:pStyle w:val="af7"/>
        <w:numPr>
          <w:ilvl w:val="1"/>
          <w:numId w:val="11"/>
        </w:numPr>
        <w:spacing w:line="276" w:lineRule="auto"/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</w:t>
      </w:r>
      <w:r w:rsidR="0024546B">
        <w:t xml:space="preserve">текущего </w:t>
      </w:r>
      <w:r w:rsidR="003779F4">
        <w:t>года</w:t>
      </w:r>
      <w:r>
        <w:t>, если иное не установлено Положением</w:t>
      </w:r>
      <w:r w:rsidR="003779F4">
        <w:t>.</w:t>
      </w:r>
    </w:p>
    <w:p w:rsidR="004E3CCA" w:rsidRDefault="004E3CCA" w:rsidP="00CD3680">
      <w:pPr>
        <w:pStyle w:val="af7"/>
        <w:numPr>
          <w:ilvl w:val="1"/>
          <w:numId w:val="11"/>
        </w:numPr>
        <w:spacing w:line="276" w:lineRule="auto"/>
      </w:pPr>
      <w:r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:rsidR="00DA3862" w:rsidRPr="004D4947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0312C9">
        <w:t>Ассоциация</w:t>
      </w:r>
      <w:r w:rsidR="00DA3862" w:rsidRPr="000312C9">
        <w:t xml:space="preserve"> вправе выставить </w:t>
      </w:r>
      <w:r w:rsidR="00DA3862" w:rsidRPr="004D4947">
        <w:t>счет</w:t>
      </w:r>
      <w:r w:rsidR="008F7831" w:rsidRPr="004D4947">
        <w:t xml:space="preserve"> (уведомление)</w:t>
      </w:r>
      <w:r w:rsidR="00DA3862" w:rsidRPr="004D4947">
        <w:t xml:space="preserve"> на уплату членских взносов. В счете</w:t>
      </w:r>
      <w:r w:rsidR="008F7831" w:rsidRPr="004D4947">
        <w:t xml:space="preserve"> (уведомлении)</w:t>
      </w:r>
      <w:r w:rsidR="00DA3862" w:rsidRPr="004D4947">
        <w:t xml:space="preserve"> указываются реквизиты банковского счета </w:t>
      </w:r>
      <w:r w:rsidRPr="004D4947">
        <w:t>Ассоциации</w:t>
      </w:r>
      <w:r w:rsidR="00DA3862" w:rsidRPr="004D4947">
        <w:t xml:space="preserve">, по которым совершается платеж, наименование </w:t>
      </w:r>
      <w:r w:rsidR="00C731D2" w:rsidRPr="004D4947">
        <w:t xml:space="preserve">и ИНН </w:t>
      </w:r>
      <w:r w:rsidR="00DA3862" w:rsidRPr="004D4947">
        <w:t>плательщика,</w:t>
      </w:r>
      <w:r w:rsidR="008F7831" w:rsidRPr="004D4947">
        <w:t xml:space="preserve"> предположительный</w:t>
      </w:r>
      <w:r w:rsidR="00DA3862" w:rsidRPr="004D4947">
        <w:t xml:space="preserve"> размер взноса, платежный период, за который вносятся взносы, и иные сведения, необходимые для уплаты взноса</w:t>
      </w:r>
      <w:r w:rsidR="008F7831" w:rsidRPr="004D4947">
        <w:t xml:space="preserve"> и его учета</w:t>
      </w:r>
      <w:r w:rsidR="00DA3862" w:rsidRPr="004D4947">
        <w:t>.</w:t>
      </w:r>
      <w:r w:rsidR="008F7831" w:rsidRPr="004D4947">
        <w:t xml:space="preserve"> Выставленный счет (уведомление) носит исключительно справочный характер, не является основанием возникновения обязательства по уплате взносов и не </w:t>
      </w:r>
      <w:proofErr w:type="gramStart"/>
      <w:r w:rsidR="008F7831" w:rsidRPr="004D4947">
        <w:t>устанавливает его условия</w:t>
      </w:r>
      <w:proofErr w:type="gramEnd"/>
      <w:r w:rsidR="008F7831" w:rsidRPr="004D4947">
        <w:t xml:space="preserve"> или размер.</w:t>
      </w:r>
    </w:p>
    <w:p w:rsidR="00D303DD" w:rsidRPr="001444F5" w:rsidRDefault="00DA3862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Взносы могут быть уплачены авансом за будущие периоды. Излишне уплаченные взносы</w:t>
      </w:r>
      <w:r w:rsidR="00740D4E" w:rsidRPr="001444F5">
        <w:t xml:space="preserve"> не возвращаются и</w:t>
      </w:r>
      <w:r w:rsidRPr="001444F5">
        <w:t xml:space="preserve"> засчитываются </w:t>
      </w:r>
      <w:r w:rsidR="00B77294" w:rsidRPr="001444F5">
        <w:t xml:space="preserve">в счет будущих периодов. Если членство плательщика взносов в </w:t>
      </w:r>
      <w:r w:rsidR="00C46D71" w:rsidRPr="001444F5">
        <w:t>Ассоциации</w:t>
      </w:r>
      <w:r w:rsidR="00B77294" w:rsidRPr="001444F5">
        <w:t xml:space="preserve"> было прекращено в течение </w:t>
      </w:r>
      <w:r w:rsidR="0024546B" w:rsidRPr="001444F5">
        <w:t xml:space="preserve">текущего </w:t>
      </w:r>
      <w:r w:rsidR="00B77294" w:rsidRPr="001444F5">
        <w:t xml:space="preserve">года или ранее наступления периода, в счет которого были зачтены уплаченные взносы, уплаченные взносы обращаются в </w:t>
      </w:r>
      <w:r w:rsidR="0082397E" w:rsidRPr="001444F5">
        <w:t xml:space="preserve">имущество </w:t>
      </w:r>
      <w:r w:rsidR="00C46D71" w:rsidRPr="001444F5">
        <w:t>Ассоциации</w:t>
      </w:r>
      <w:r w:rsidR="00B77294" w:rsidRPr="001444F5">
        <w:t xml:space="preserve"> и не возвращаются плательщику.</w:t>
      </w:r>
    </w:p>
    <w:p w:rsidR="00693B42" w:rsidRDefault="00693B42" w:rsidP="00723561">
      <w:pPr>
        <w:pStyle w:val="af7"/>
        <w:spacing w:line="276" w:lineRule="auto"/>
        <w:ind w:left="0" w:firstLine="0"/>
      </w:pPr>
    </w:p>
    <w:p w:rsidR="00693B42" w:rsidRPr="00693B42" w:rsidRDefault="00693B4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:rsidR="00693B42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В жалобе должно содержаться: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lastRenderedPageBreak/>
        <w:t>адрес лица, подающего жалобу, для направления ответа на жалобу и иных документов;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:rsidR="00026FE1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615FB2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подпись лица, подающего жалобу, и дата составления жалобы.</w:t>
      </w:r>
    </w:p>
    <w:p w:rsidR="00693B4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615FB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6066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C516E3" w:rsidRDefault="00C516E3" w:rsidP="00723561">
      <w:pPr>
        <w:spacing w:line="276" w:lineRule="auto"/>
      </w:pPr>
    </w:p>
    <w:p w:rsidR="00CF0BA6" w:rsidRPr="00CF0BA6" w:rsidRDefault="000312C9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CF0BA6" w:rsidRPr="004D4947" w:rsidRDefault="00CF0BA6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Положение, изменения, вносимые в Положение, </w:t>
      </w:r>
      <w:r w:rsidR="001A657A" w:rsidRPr="004D4947">
        <w:t xml:space="preserve">решение о признании Положения утратившим силу </w:t>
      </w:r>
      <w:r w:rsidRPr="004D4947">
        <w:t>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0312C9" w:rsidRPr="004D4947" w:rsidRDefault="000312C9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Особые условия, установленные </w:t>
      </w:r>
      <w:r w:rsidR="00C52376" w:rsidRPr="004D4947">
        <w:t xml:space="preserve">Приложением 2 к Положению, носят специальный характер по отношению к общим нормам Положения и Приложения 1 к нему. Общие нормы Положения </w:t>
      </w:r>
      <w:r w:rsidR="002A764D" w:rsidRPr="004D4947">
        <w:t xml:space="preserve">и Приложения 1 к нему </w:t>
      </w:r>
      <w:r w:rsidR="00C52376" w:rsidRPr="004D4947">
        <w:t xml:space="preserve">применяются в случаях </w:t>
      </w:r>
      <w:r w:rsidR="00C52376" w:rsidRPr="004D4947">
        <w:lastRenderedPageBreak/>
        <w:t>и поскольку специальными нормами Приложения 2 к Положению не установлено иное.</w:t>
      </w:r>
    </w:p>
    <w:p w:rsidR="00CF0BA6" w:rsidRDefault="00CF0BA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AF3087" w:rsidRPr="00AF3087" w:rsidRDefault="00AF3087" w:rsidP="001A1CF2">
      <w:pPr>
        <w:pageBreakBefore/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>Приложение 1</w:t>
      </w:r>
    </w:p>
    <w:p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AF3087" w:rsidRDefault="00AF3087" w:rsidP="0024358E">
      <w:pPr>
        <w:ind w:firstLine="0"/>
        <w:jc w:val="center"/>
        <w:rPr>
          <w:b/>
        </w:rPr>
      </w:pPr>
    </w:p>
    <w:p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:rsidR="00C74D20" w:rsidRPr="004D4947" w:rsidRDefault="0057651F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4947">
        <w:rPr>
          <w:sz w:val="24"/>
          <w:szCs w:val="24"/>
        </w:rPr>
        <w:t>вида деятельности в сфере проектирования</w:t>
      </w:r>
      <w:r w:rsidR="00C74D20" w:rsidRPr="004D4947">
        <w:rPr>
          <w:sz w:val="24"/>
          <w:szCs w:val="24"/>
        </w:rPr>
        <w:t>;</w:t>
      </w:r>
    </w:p>
    <w:p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:rsidR="00C74D20" w:rsidRDefault="00C74D20" w:rsidP="00C74D20">
      <w:pPr>
        <w:pStyle w:val="af7"/>
        <w:ind w:left="0" w:firstLine="0"/>
      </w:pPr>
    </w:p>
    <w:p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:rsidTr="00DA65FD">
        <w:tc>
          <w:tcPr>
            <w:tcW w:w="567" w:type="dxa"/>
            <w:vMerge w:val="restart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74D20" w:rsidRPr="00BF7D2D" w:rsidRDefault="00C74D20" w:rsidP="00322019">
            <w:pPr>
              <w:spacing w:line="276" w:lineRule="auto"/>
              <w:ind w:firstLine="0"/>
              <w:jc w:val="center"/>
              <w:rPr>
                <w:color w:val="7030A0"/>
                <w:sz w:val="20"/>
                <w:szCs w:val="20"/>
              </w:rPr>
            </w:pPr>
            <w:r w:rsidRPr="003A3D7A">
              <w:rPr>
                <w:sz w:val="20"/>
                <w:szCs w:val="20"/>
              </w:rPr>
              <w:t>Вид деятельности</w:t>
            </w:r>
            <w:r w:rsidR="00322019" w:rsidRPr="003A3D7A">
              <w:rPr>
                <w:sz w:val="20"/>
                <w:szCs w:val="20"/>
              </w:rPr>
              <w:t xml:space="preserve"> </w:t>
            </w:r>
            <w:r w:rsidR="00BF7D2D" w:rsidRPr="003A3D7A">
              <w:rPr>
                <w:sz w:val="20"/>
                <w:szCs w:val="20"/>
              </w:rPr>
              <w:t>в сфере проектирования</w:t>
            </w:r>
          </w:p>
        </w:tc>
        <w:tc>
          <w:tcPr>
            <w:tcW w:w="4536" w:type="dxa"/>
            <w:gridSpan w:val="4"/>
            <w:vAlign w:val="center"/>
          </w:tcPr>
          <w:p w:rsidR="00C74D20" w:rsidRPr="0057595F" w:rsidRDefault="007D2F46" w:rsidP="003D55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</w:t>
            </w:r>
            <w:r w:rsidR="0057651F">
              <w:rPr>
                <w:sz w:val="20"/>
                <w:szCs w:val="20"/>
              </w:rPr>
              <w:t xml:space="preserve">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:rsidTr="00DA65FD">
        <w:tc>
          <w:tcPr>
            <w:tcW w:w="567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C74D20" w:rsidRPr="0057595F" w:rsidRDefault="0057651F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Застройщик, самостоятельно выполняющий</w:t>
            </w:r>
            <w:r w:rsidR="00C74D20" w:rsidRPr="00FE589C">
              <w:rPr>
                <w:sz w:val="20"/>
                <w:szCs w:val="20"/>
              </w:rPr>
              <w:t xml:space="preserve">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Осуществление функций технического заказчика</w:t>
            </w:r>
            <w:r w:rsidR="0057651F" w:rsidRPr="004D4947">
              <w:rPr>
                <w:sz w:val="20"/>
                <w:szCs w:val="20"/>
              </w:rPr>
              <w:t xml:space="preserve"> (застройщик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57651F" w:rsidRPr="004D4947">
              <w:rPr>
                <w:sz w:val="20"/>
                <w:szCs w:val="20"/>
              </w:rPr>
              <w:t xml:space="preserve">, </w:t>
            </w:r>
            <w:proofErr w:type="gramStart"/>
            <w:r w:rsidR="0057651F" w:rsidRPr="004D4947">
              <w:rPr>
                <w:sz w:val="20"/>
                <w:szCs w:val="20"/>
              </w:rPr>
              <w:t>генеральный</w:t>
            </w:r>
            <w:proofErr w:type="gramEnd"/>
            <w:r w:rsidR="0057651F" w:rsidRPr="004D4947">
              <w:rPr>
                <w:sz w:val="20"/>
                <w:szCs w:val="20"/>
              </w:rPr>
              <w:t xml:space="preserve"> проектировщик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322019" w:rsidRPr="004D494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</w:t>
            </w:r>
            <w:r w:rsidR="0057651F" w:rsidRPr="004D4947">
              <w:rPr>
                <w:sz w:val="20"/>
                <w:szCs w:val="20"/>
              </w:rPr>
              <w:t>, заключаемы</w:t>
            </w:r>
            <w:r w:rsidR="005078D1" w:rsidRPr="004D4947">
              <w:rPr>
                <w:sz w:val="20"/>
                <w:szCs w:val="20"/>
              </w:rPr>
              <w:t>м</w:t>
            </w:r>
            <w:r w:rsidR="0057651F" w:rsidRPr="004D4947">
              <w:rPr>
                <w:sz w:val="20"/>
                <w:szCs w:val="20"/>
              </w:rPr>
              <w:t xml:space="preserve"> без применения конкурентных способов</w:t>
            </w:r>
            <w:r w:rsidR="00942855" w:rsidRPr="004D4947">
              <w:rPr>
                <w:sz w:val="20"/>
                <w:szCs w:val="20"/>
              </w:rPr>
              <w:t xml:space="preserve"> (проектиров</w:t>
            </w:r>
            <w:r w:rsidR="00BF7D2D" w:rsidRPr="004D4947">
              <w:rPr>
                <w:sz w:val="20"/>
                <w:szCs w:val="20"/>
              </w:rPr>
              <w:t>щиком, техническим заказчиком</w:t>
            </w:r>
            <w:r w:rsidR="00942855" w:rsidRPr="004D4947">
              <w:rPr>
                <w:sz w:val="20"/>
                <w:szCs w:val="20"/>
              </w:rPr>
              <w:t xml:space="preserve">, </w:t>
            </w:r>
            <w:r w:rsidR="00BF7D2D" w:rsidRPr="004D4947">
              <w:rPr>
                <w:sz w:val="20"/>
                <w:szCs w:val="20"/>
              </w:rPr>
              <w:t>экспертом)</w:t>
            </w:r>
            <w:r w:rsidRPr="004D494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 w:rsidRPr="004D4947">
              <w:rPr>
                <w:sz w:val="20"/>
                <w:szCs w:val="20"/>
              </w:rPr>
              <w:t>х способов заключения договоров</w:t>
            </w:r>
            <w:r w:rsidR="00BF7D2D" w:rsidRPr="004D4947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:rsidR="00C74D20" w:rsidRDefault="00C74D20" w:rsidP="00C74D20">
      <w:pPr>
        <w:pStyle w:val="af7"/>
        <w:ind w:left="0" w:firstLine="0"/>
      </w:pP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Уровни ответственности по обязательствам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</w:t>
      </w:r>
      <w:r w:rsidRPr="003A3D7A">
        <w:rPr>
          <w:sz w:val="24"/>
          <w:szCs w:val="24"/>
        </w:rPr>
        <w:t xml:space="preserve">, </w:t>
      </w:r>
      <w:r w:rsidR="005078D1" w:rsidRPr="003A3D7A">
        <w:rPr>
          <w:sz w:val="24"/>
          <w:szCs w:val="24"/>
        </w:rPr>
        <w:t>в сфере проектирования</w:t>
      </w:r>
      <w:r w:rsidRPr="003A3D7A">
        <w:rPr>
          <w:sz w:val="24"/>
          <w:szCs w:val="24"/>
        </w:rPr>
        <w:t>,</w:t>
      </w:r>
      <w:r w:rsidRPr="0093717A">
        <w:rPr>
          <w:sz w:val="24"/>
          <w:szCs w:val="24"/>
        </w:rPr>
        <w:t xml:space="preserve"> определяется по виду деятельности, размер взноса по которому имеет большее значение.</w:t>
      </w:r>
    </w:p>
    <w:p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 xml:space="preserve">, не представивших в установленный срок предусмотренный п. 7.8. Положения </w:t>
      </w:r>
      <w:r w:rsidR="00AB1DF3">
        <w:rPr>
          <w:sz w:val="24"/>
          <w:szCs w:val="24"/>
        </w:rPr>
        <w:t>о</w:t>
      </w:r>
      <w:r w:rsidRPr="0093717A">
        <w:rPr>
          <w:sz w:val="24"/>
          <w:szCs w:val="24"/>
        </w:rPr>
        <w:t>тчет, составляет 400 000 (четыреста тысяч) рублей.</w:t>
      </w:r>
    </w:p>
    <w:p w:rsidR="00C74D20" w:rsidRDefault="00FF41FF" w:rsidP="001A1CF2">
      <w:pPr>
        <w:tabs>
          <w:tab w:val="left" w:pos="8640"/>
        </w:tabs>
      </w:pPr>
      <w:r>
        <w:tab/>
      </w:r>
    </w:p>
    <w:p w:rsidR="00C74D20" w:rsidRDefault="00C74D20" w:rsidP="00C74D20"/>
    <w:p w:rsidR="002A764D" w:rsidRDefault="002A764D" w:rsidP="00C74D20">
      <w:pPr>
        <w:ind w:firstLine="0"/>
        <w:jc w:val="center"/>
        <w:sectPr w:rsidR="002A764D" w:rsidSect="00C52376">
          <w:headerReference w:type="default" r:id="rId9"/>
          <w:footerReference w:type="default" r:id="rId10"/>
          <w:pgSz w:w="12240" w:h="15840"/>
          <w:pgMar w:top="851" w:right="758" w:bottom="709" w:left="1418" w:header="426" w:footer="31" w:gutter="0"/>
          <w:pgNumType w:start="2"/>
          <w:cols w:space="708"/>
          <w:docGrid w:linePitch="360"/>
        </w:sectPr>
      </w:pP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 xml:space="preserve">Приложение </w:t>
      </w:r>
      <w:r>
        <w:rPr>
          <w:color w:val="808080" w:themeColor="background1" w:themeShade="80"/>
          <w:sz w:val="20"/>
          <w:szCs w:val="20"/>
        </w:rPr>
        <w:t>2</w:t>
      </w:r>
    </w:p>
    <w:p w:rsidR="002A764D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2A764D" w:rsidRDefault="002A764D" w:rsidP="002A764D">
      <w:pPr>
        <w:ind w:firstLine="0"/>
        <w:jc w:val="center"/>
        <w:rPr>
          <w:b/>
        </w:rPr>
      </w:pP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  <w:r w:rsidRPr="004D4947">
        <w:rPr>
          <w:b/>
          <w:sz w:val="24"/>
          <w:szCs w:val="24"/>
        </w:rPr>
        <w:t>Дополнительные правила исчисления размера, сроков и порядка уплаты членских взносов</w:t>
      </w: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</w:p>
    <w:p w:rsidR="003B08DB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Размер регулярного членского взноса для члена Ассоциации за год, в котором принято решение о его приеме в члены Ассоциации, составляет 0 (Ноль рублей). </w:t>
      </w:r>
    </w:p>
    <w:p w:rsidR="0057651F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за год, следующий за годом принятия решения о приеме в члены, составляет 60 000 (Шестьдесят тысяч) рублей.</w:t>
      </w:r>
    </w:p>
    <w:p w:rsidR="00073C21" w:rsidRPr="004D4947" w:rsidRDefault="00073C2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исчисления размера взносов, установленные п. 1.1, 1.2</w:t>
      </w:r>
      <w:r w:rsidR="00723561" w:rsidRPr="004D4947">
        <w:rPr>
          <w:sz w:val="24"/>
          <w:szCs w:val="24"/>
        </w:rPr>
        <w:t>, 1.4</w:t>
      </w:r>
      <w:r w:rsidRPr="004D4947">
        <w:rPr>
          <w:sz w:val="24"/>
          <w:szCs w:val="24"/>
        </w:rPr>
        <w:t xml:space="preserve"> и 1.6 Приложения 1 к Положению, к членам Ассоциации, указанным в п. 1</w:t>
      </w:r>
      <w:r w:rsidR="003B318E">
        <w:rPr>
          <w:sz w:val="24"/>
          <w:szCs w:val="24"/>
        </w:rPr>
        <w:t xml:space="preserve"> </w:t>
      </w:r>
      <w:r w:rsidRPr="004D4947">
        <w:rPr>
          <w:sz w:val="24"/>
          <w:szCs w:val="24"/>
        </w:rPr>
        <w:t>настоящего Приложения, не применяются.</w:t>
      </w:r>
    </w:p>
    <w:p w:rsidR="00E94D0B" w:rsidRPr="004D4947" w:rsidRDefault="002A764D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Члены Ассоциации вправе уплачивать регулярный членский взнос в течение </w:t>
      </w:r>
      <w:r w:rsidR="000266BB">
        <w:rPr>
          <w:sz w:val="24"/>
          <w:szCs w:val="24"/>
        </w:rPr>
        <w:t>текущего</w:t>
      </w:r>
      <w:r w:rsidR="000266BB" w:rsidRPr="004D4947">
        <w:rPr>
          <w:sz w:val="24"/>
          <w:szCs w:val="24"/>
        </w:rPr>
        <w:t xml:space="preserve"> </w:t>
      </w:r>
      <w:r w:rsidRPr="004D4947">
        <w:rPr>
          <w:sz w:val="24"/>
          <w:szCs w:val="24"/>
        </w:rPr>
        <w:t>года</w:t>
      </w:r>
      <w:r w:rsidR="00E94D0B" w:rsidRPr="004D4947">
        <w:rPr>
          <w:sz w:val="24"/>
          <w:szCs w:val="24"/>
        </w:rPr>
        <w:t xml:space="preserve"> равными частями – ежеквартально или каждые шесть месяцев</w:t>
      </w:r>
      <w:r w:rsidR="000D04DD" w:rsidRPr="004D4947">
        <w:rPr>
          <w:sz w:val="24"/>
          <w:szCs w:val="24"/>
        </w:rPr>
        <w:t xml:space="preserve"> (за полугодие)</w:t>
      </w:r>
      <w:r w:rsidR="000266BB">
        <w:rPr>
          <w:sz w:val="24"/>
          <w:szCs w:val="24"/>
        </w:rPr>
        <w:t>, если иное не установлено Положением</w:t>
      </w:r>
      <w:r w:rsidR="00E94D0B" w:rsidRPr="004D4947">
        <w:rPr>
          <w:sz w:val="24"/>
          <w:szCs w:val="24"/>
        </w:rPr>
        <w:t xml:space="preserve">. Уплата взноса частями допускается, если член Ассоциации обратился в Ассоциацию с заявлением о соответствующем намерении не позднее 1 марта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 xml:space="preserve">года, или до принятия решения о приеме в члены Ассоциации, если такое решение о приеме в члены принято в течение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>года.</w:t>
      </w:r>
    </w:p>
    <w:p w:rsidR="00E94D0B" w:rsidRPr="001444F5" w:rsidRDefault="00E94D0B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1444F5">
        <w:rPr>
          <w:sz w:val="24"/>
          <w:szCs w:val="24"/>
        </w:rPr>
        <w:t>В случае уплаты регулярного членского взноса частями каждая из частей должна уплачиваться членом Ассоциации самостоятельно в течение десяти рабочих дней начиная со дня начала календарного квартала или полугодия</w:t>
      </w:r>
      <w:r w:rsidR="00E44FA8" w:rsidRPr="001444F5">
        <w:rPr>
          <w:sz w:val="24"/>
          <w:szCs w:val="24"/>
        </w:rPr>
        <w:t>, если иное не установлено Положением</w:t>
      </w:r>
      <w:r w:rsidRPr="001444F5">
        <w:rPr>
          <w:sz w:val="24"/>
          <w:szCs w:val="24"/>
        </w:rPr>
        <w:t>.</w:t>
      </w:r>
      <w:r w:rsidR="000D04DD" w:rsidRPr="001444F5">
        <w:rPr>
          <w:sz w:val="24"/>
          <w:szCs w:val="24"/>
        </w:rPr>
        <w:t xml:space="preserve"> Часть членского взноса за первый календарный квартал или за первое полугодие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 xml:space="preserve">года вносится не позднее 1 марта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>года.</w:t>
      </w:r>
    </w:p>
    <w:p w:rsidR="003F31D3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настоящего Приложения 2 применяются к членам Ассоциации, решение о приеме в члены которых принято после 01 апреля 2019 года.</w:t>
      </w:r>
    </w:p>
    <w:p w:rsidR="00C516E3" w:rsidRDefault="00C516E3" w:rsidP="00C74D20">
      <w:pPr>
        <w:ind w:firstLine="0"/>
        <w:jc w:val="center"/>
      </w:pPr>
    </w:p>
    <w:sectPr w:rsidR="00C516E3" w:rsidSect="00C52376">
      <w:pgSz w:w="12240" w:h="15840"/>
      <w:pgMar w:top="851" w:right="758" w:bottom="709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62" w:rsidRDefault="002F1162" w:rsidP="00A67C53">
      <w:r>
        <w:separator/>
      </w:r>
    </w:p>
  </w:endnote>
  <w:endnote w:type="continuationSeparator" w:id="0">
    <w:p w:rsidR="002F1162" w:rsidRDefault="002F1162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4" w:rsidRDefault="00646ED4">
    <w:pPr>
      <w:pStyle w:val="a5"/>
      <w:jc w:val="right"/>
    </w:pPr>
  </w:p>
  <w:p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62" w:rsidRDefault="002F1162" w:rsidP="00A67C53">
      <w:r>
        <w:separator/>
      </w:r>
    </w:p>
  </w:footnote>
  <w:footnote w:type="continuationSeparator" w:id="0">
    <w:p w:rsidR="002F1162" w:rsidRDefault="002F1162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21ECC"/>
    <w:multiLevelType w:val="hybridMultilevel"/>
    <w:tmpl w:val="3EDC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CAC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B7077B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B364C4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B97B9C"/>
    <w:multiLevelType w:val="hybridMultilevel"/>
    <w:tmpl w:val="BCB8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302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D503EA0"/>
    <w:multiLevelType w:val="multilevel"/>
    <w:tmpl w:val="81EA57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0BEA"/>
    <w:rsid w:val="000266BB"/>
    <w:rsid w:val="00026FE1"/>
    <w:rsid w:val="000312C9"/>
    <w:rsid w:val="00042BEB"/>
    <w:rsid w:val="00044F49"/>
    <w:rsid w:val="0005326A"/>
    <w:rsid w:val="000554D2"/>
    <w:rsid w:val="00073C21"/>
    <w:rsid w:val="00073EB2"/>
    <w:rsid w:val="00081FB7"/>
    <w:rsid w:val="000A4D69"/>
    <w:rsid w:val="000D04DD"/>
    <w:rsid w:val="000D6DB9"/>
    <w:rsid w:val="000E0050"/>
    <w:rsid w:val="000E045A"/>
    <w:rsid w:val="000E383A"/>
    <w:rsid w:val="000E5071"/>
    <w:rsid w:val="000F6F32"/>
    <w:rsid w:val="001043EE"/>
    <w:rsid w:val="00120CDB"/>
    <w:rsid w:val="00126923"/>
    <w:rsid w:val="0013122D"/>
    <w:rsid w:val="00133D9E"/>
    <w:rsid w:val="00135B5D"/>
    <w:rsid w:val="0014280C"/>
    <w:rsid w:val="001444F5"/>
    <w:rsid w:val="00172C58"/>
    <w:rsid w:val="00176DDC"/>
    <w:rsid w:val="00191B5D"/>
    <w:rsid w:val="001977EE"/>
    <w:rsid w:val="001A1CF2"/>
    <w:rsid w:val="001A235C"/>
    <w:rsid w:val="001A657A"/>
    <w:rsid w:val="001B62AA"/>
    <w:rsid w:val="001B7D15"/>
    <w:rsid w:val="001C57E0"/>
    <w:rsid w:val="001C785C"/>
    <w:rsid w:val="001D1F5B"/>
    <w:rsid w:val="001D673C"/>
    <w:rsid w:val="001E0EFB"/>
    <w:rsid w:val="001E4432"/>
    <w:rsid w:val="001E7033"/>
    <w:rsid w:val="00202C8D"/>
    <w:rsid w:val="00205AC3"/>
    <w:rsid w:val="00207D48"/>
    <w:rsid w:val="0021041C"/>
    <w:rsid w:val="002130EB"/>
    <w:rsid w:val="00220177"/>
    <w:rsid w:val="00220234"/>
    <w:rsid w:val="00226E59"/>
    <w:rsid w:val="00235A45"/>
    <w:rsid w:val="0024358E"/>
    <w:rsid w:val="0024546B"/>
    <w:rsid w:val="00252490"/>
    <w:rsid w:val="00257755"/>
    <w:rsid w:val="0026746A"/>
    <w:rsid w:val="002776E0"/>
    <w:rsid w:val="00280E50"/>
    <w:rsid w:val="002851E3"/>
    <w:rsid w:val="00287907"/>
    <w:rsid w:val="00294297"/>
    <w:rsid w:val="0029762C"/>
    <w:rsid w:val="002A6FA3"/>
    <w:rsid w:val="002A764D"/>
    <w:rsid w:val="002D35F2"/>
    <w:rsid w:val="002D364D"/>
    <w:rsid w:val="002E70BC"/>
    <w:rsid w:val="002F1162"/>
    <w:rsid w:val="002F147E"/>
    <w:rsid w:val="002F2611"/>
    <w:rsid w:val="0031407C"/>
    <w:rsid w:val="0032103C"/>
    <w:rsid w:val="00322019"/>
    <w:rsid w:val="00341D3A"/>
    <w:rsid w:val="00361CA1"/>
    <w:rsid w:val="00361F0C"/>
    <w:rsid w:val="00364D62"/>
    <w:rsid w:val="00365695"/>
    <w:rsid w:val="003770CC"/>
    <w:rsid w:val="003779F4"/>
    <w:rsid w:val="00385172"/>
    <w:rsid w:val="003853A1"/>
    <w:rsid w:val="003A005B"/>
    <w:rsid w:val="003A3D7A"/>
    <w:rsid w:val="003A70DF"/>
    <w:rsid w:val="003B08DB"/>
    <w:rsid w:val="003B318E"/>
    <w:rsid w:val="003B4078"/>
    <w:rsid w:val="003C145B"/>
    <w:rsid w:val="003C525A"/>
    <w:rsid w:val="003D55F3"/>
    <w:rsid w:val="003E0A3B"/>
    <w:rsid w:val="003F31D3"/>
    <w:rsid w:val="003F3E1D"/>
    <w:rsid w:val="00422718"/>
    <w:rsid w:val="004259C9"/>
    <w:rsid w:val="00437F23"/>
    <w:rsid w:val="0046113A"/>
    <w:rsid w:val="00462C3A"/>
    <w:rsid w:val="00464685"/>
    <w:rsid w:val="00466485"/>
    <w:rsid w:val="00474BB0"/>
    <w:rsid w:val="00492A5B"/>
    <w:rsid w:val="004A059E"/>
    <w:rsid w:val="004A557A"/>
    <w:rsid w:val="004C1C31"/>
    <w:rsid w:val="004C7CF3"/>
    <w:rsid w:val="004D4947"/>
    <w:rsid w:val="004E3CCA"/>
    <w:rsid w:val="004E5EAB"/>
    <w:rsid w:val="004E6A3F"/>
    <w:rsid w:val="00500BCF"/>
    <w:rsid w:val="005055DF"/>
    <w:rsid w:val="005078D1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7651F"/>
    <w:rsid w:val="00583363"/>
    <w:rsid w:val="00587672"/>
    <w:rsid w:val="005877F9"/>
    <w:rsid w:val="00587BBE"/>
    <w:rsid w:val="00587F16"/>
    <w:rsid w:val="00594232"/>
    <w:rsid w:val="00594FBE"/>
    <w:rsid w:val="00594FF7"/>
    <w:rsid w:val="005A10D3"/>
    <w:rsid w:val="005A7BDA"/>
    <w:rsid w:val="005B0D5A"/>
    <w:rsid w:val="005B54EE"/>
    <w:rsid w:val="005B61EF"/>
    <w:rsid w:val="005C6C8B"/>
    <w:rsid w:val="005E51F4"/>
    <w:rsid w:val="005E5EF5"/>
    <w:rsid w:val="005F121E"/>
    <w:rsid w:val="005F62E3"/>
    <w:rsid w:val="0060669D"/>
    <w:rsid w:val="006101BC"/>
    <w:rsid w:val="00615FB2"/>
    <w:rsid w:val="00637631"/>
    <w:rsid w:val="00640789"/>
    <w:rsid w:val="00646ED4"/>
    <w:rsid w:val="00657846"/>
    <w:rsid w:val="00677DC4"/>
    <w:rsid w:val="0068687E"/>
    <w:rsid w:val="006905DD"/>
    <w:rsid w:val="00693B42"/>
    <w:rsid w:val="006A364A"/>
    <w:rsid w:val="006C3BA7"/>
    <w:rsid w:val="006C5B7F"/>
    <w:rsid w:val="006E498A"/>
    <w:rsid w:val="006E54F4"/>
    <w:rsid w:val="006F401E"/>
    <w:rsid w:val="006F41BA"/>
    <w:rsid w:val="006F5011"/>
    <w:rsid w:val="006F56A0"/>
    <w:rsid w:val="00706180"/>
    <w:rsid w:val="007106CA"/>
    <w:rsid w:val="0071125C"/>
    <w:rsid w:val="00711729"/>
    <w:rsid w:val="00712147"/>
    <w:rsid w:val="0071361D"/>
    <w:rsid w:val="00721985"/>
    <w:rsid w:val="00723561"/>
    <w:rsid w:val="00725B08"/>
    <w:rsid w:val="0073290C"/>
    <w:rsid w:val="007400B7"/>
    <w:rsid w:val="00740D4E"/>
    <w:rsid w:val="00743623"/>
    <w:rsid w:val="007454D8"/>
    <w:rsid w:val="0075170D"/>
    <w:rsid w:val="00763B4A"/>
    <w:rsid w:val="00770D7C"/>
    <w:rsid w:val="00775D02"/>
    <w:rsid w:val="0078265D"/>
    <w:rsid w:val="007917FB"/>
    <w:rsid w:val="007A7C08"/>
    <w:rsid w:val="007B1371"/>
    <w:rsid w:val="007B47A1"/>
    <w:rsid w:val="007B5F42"/>
    <w:rsid w:val="007B62CA"/>
    <w:rsid w:val="007C21DC"/>
    <w:rsid w:val="007D2F46"/>
    <w:rsid w:val="007D710B"/>
    <w:rsid w:val="007E5A4F"/>
    <w:rsid w:val="007F2FBC"/>
    <w:rsid w:val="007F4DFC"/>
    <w:rsid w:val="007F706B"/>
    <w:rsid w:val="00816A58"/>
    <w:rsid w:val="0082323D"/>
    <w:rsid w:val="0082397E"/>
    <w:rsid w:val="0082400D"/>
    <w:rsid w:val="00825940"/>
    <w:rsid w:val="00851AEE"/>
    <w:rsid w:val="00866F3B"/>
    <w:rsid w:val="008857A8"/>
    <w:rsid w:val="00887D20"/>
    <w:rsid w:val="00894947"/>
    <w:rsid w:val="008A2EDC"/>
    <w:rsid w:val="008A3E3D"/>
    <w:rsid w:val="008A79B4"/>
    <w:rsid w:val="008B0A13"/>
    <w:rsid w:val="008B22FC"/>
    <w:rsid w:val="008B4E12"/>
    <w:rsid w:val="008B7E9D"/>
    <w:rsid w:val="008F041A"/>
    <w:rsid w:val="008F7831"/>
    <w:rsid w:val="008F7D04"/>
    <w:rsid w:val="00900B4F"/>
    <w:rsid w:val="009056E1"/>
    <w:rsid w:val="009238BA"/>
    <w:rsid w:val="00931C71"/>
    <w:rsid w:val="0093717A"/>
    <w:rsid w:val="00942855"/>
    <w:rsid w:val="00943876"/>
    <w:rsid w:val="009558A5"/>
    <w:rsid w:val="00956B8E"/>
    <w:rsid w:val="009617F8"/>
    <w:rsid w:val="00987921"/>
    <w:rsid w:val="009A0BAE"/>
    <w:rsid w:val="009A556D"/>
    <w:rsid w:val="009C0565"/>
    <w:rsid w:val="009C797F"/>
    <w:rsid w:val="009E04CD"/>
    <w:rsid w:val="009E4D36"/>
    <w:rsid w:val="00A06049"/>
    <w:rsid w:val="00A1480D"/>
    <w:rsid w:val="00A20A96"/>
    <w:rsid w:val="00A445E1"/>
    <w:rsid w:val="00A4596E"/>
    <w:rsid w:val="00A521C0"/>
    <w:rsid w:val="00A52E65"/>
    <w:rsid w:val="00A6069A"/>
    <w:rsid w:val="00A66740"/>
    <w:rsid w:val="00A67C53"/>
    <w:rsid w:val="00A919CF"/>
    <w:rsid w:val="00A93645"/>
    <w:rsid w:val="00A93941"/>
    <w:rsid w:val="00A96A35"/>
    <w:rsid w:val="00A96A84"/>
    <w:rsid w:val="00AA51FF"/>
    <w:rsid w:val="00AB1DF3"/>
    <w:rsid w:val="00AB1EA1"/>
    <w:rsid w:val="00AB3E5A"/>
    <w:rsid w:val="00AC6020"/>
    <w:rsid w:val="00AC6EEC"/>
    <w:rsid w:val="00AE7F68"/>
    <w:rsid w:val="00AF3087"/>
    <w:rsid w:val="00AF4599"/>
    <w:rsid w:val="00AF533A"/>
    <w:rsid w:val="00B20F02"/>
    <w:rsid w:val="00B23FE6"/>
    <w:rsid w:val="00B26220"/>
    <w:rsid w:val="00B318BE"/>
    <w:rsid w:val="00B37AB4"/>
    <w:rsid w:val="00B46B97"/>
    <w:rsid w:val="00B667F2"/>
    <w:rsid w:val="00B70FEF"/>
    <w:rsid w:val="00B72007"/>
    <w:rsid w:val="00B736FC"/>
    <w:rsid w:val="00B77294"/>
    <w:rsid w:val="00BB350B"/>
    <w:rsid w:val="00BC7220"/>
    <w:rsid w:val="00BD53D3"/>
    <w:rsid w:val="00BE74EF"/>
    <w:rsid w:val="00BE7A3B"/>
    <w:rsid w:val="00BF042F"/>
    <w:rsid w:val="00BF7D2D"/>
    <w:rsid w:val="00C018F2"/>
    <w:rsid w:val="00C03B4A"/>
    <w:rsid w:val="00C0482E"/>
    <w:rsid w:val="00C11B2C"/>
    <w:rsid w:val="00C26455"/>
    <w:rsid w:val="00C37C6A"/>
    <w:rsid w:val="00C40DDF"/>
    <w:rsid w:val="00C46686"/>
    <w:rsid w:val="00C46D71"/>
    <w:rsid w:val="00C516E3"/>
    <w:rsid w:val="00C52376"/>
    <w:rsid w:val="00C52F1A"/>
    <w:rsid w:val="00C558F2"/>
    <w:rsid w:val="00C7036A"/>
    <w:rsid w:val="00C731D2"/>
    <w:rsid w:val="00C7435A"/>
    <w:rsid w:val="00C74D20"/>
    <w:rsid w:val="00C8778D"/>
    <w:rsid w:val="00C91A79"/>
    <w:rsid w:val="00C94CD8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C7C98"/>
    <w:rsid w:val="00CD1B8D"/>
    <w:rsid w:val="00CD3680"/>
    <w:rsid w:val="00CD69DA"/>
    <w:rsid w:val="00CD727F"/>
    <w:rsid w:val="00CE2475"/>
    <w:rsid w:val="00CF0BA6"/>
    <w:rsid w:val="00CF1092"/>
    <w:rsid w:val="00CF61D7"/>
    <w:rsid w:val="00CF6808"/>
    <w:rsid w:val="00D02B98"/>
    <w:rsid w:val="00D25001"/>
    <w:rsid w:val="00D27708"/>
    <w:rsid w:val="00D303DD"/>
    <w:rsid w:val="00D34208"/>
    <w:rsid w:val="00D36C6D"/>
    <w:rsid w:val="00D4146A"/>
    <w:rsid w:val="00D4251A"/>
    <w:rsid w:val="00D4257C"/>
    <w:rsid w:val="00D42A72"/>
    <w:rsid w:val="00D433C2"/>
    <w:rsid w:val="00D46018"/>
    <w:rsid w:val="00D51470"/>
    <w:rsid w:val="00D5409B"/>
    <w:rsid w:val="00D656E1"/>
    <w:rsid w:val="00D669F5"/>
    <w:rsid w:val="00D67E2B"/>
    <w:rsid w:val="00D92A51"/>
    <w:rsid w:val="00D92B24"/>
    <w:rsid w:val="00D9471E"/>
    <w:rsid w:val="00DA3862"/>
    <w:rsid w:val="00DA5A92"/>
    <w:rsid w:val="00DD26F9"/>
    <w:rsid w:val="00DD285E"/>
    <w:rsid w:val="00DF2DA3"/>
    <w:rsid w:val="00DF523B"/>
    <w:rsid w:val="00E17740"/>
    <w:rsid w:val="00E213C4"/>
    <w:rsid w:val="00E24468"/>
    <w:rsid w:val="00E2687A"/>
    <w:rsid w:val="00E416C7"/>
    <w:rsid w:val="00E42222"/>
    <w:rsid w:val="00E44FA8"/>
    <w:rsid w:val="00E6276A"/>
    <w:rsid w:val="00E66D7C"/>
    <w:rsid w:val="00E75878"/>
    <w:rsid w:val="00E76851"/>
    <w:rsid w:val="00E845BE"/>
    <w:rsid w:val="00E90C5F"/>
    <w:rsid w:val="00E917E2"/>
    <w:rsid w:val="00E94D0B"/>
    <w:rsid w:val="00EA0471"/>
    <w:rsid w:val="00EA3A26"/>
    <w:rsid w:val="00EA53BC"/>
    <w:rsid w:val="00EA68AF"/>
    <w:rsid w:val="00EC1D36"/>
    <w:rsid w:val="00EC5DEE"/>
    <w:rsid w:val="00ED4861"/>
    <w:rsid w:val="00EE1EAA"/>
    <w:rsid w:val="00F03862"/>
    <w:rsid w:val="00F14DF4"/>
    <w:rsid w:val="00F168E7"/>
    <w:rsid w:val="00F23D3B"/>
    <w:rsid w:val="00F32940"/>
    <w:rsid w:val="00F33386"/>
    <w:rsid w:val="00F34313"/>
    <w:rsid w:val="00F348B8"/>
    <w:rsid w:val="00F37558"/>
    <w:rsid w:val="00F51190"/>
    <w:rsid w:val="00F643E6"/>
    <w:rsid w:val="00F6454E"/>
    <w:rsid w:val="00FA2D21"/>
    <w:rsid w:val="00FA589E"/>
    <w:rsid w:val="00FB277A"/>
    <w:rsid w:val="00FC5A19"/>
    <w:rsid w:val="00FD3531"/>
    <w:rsid w:val="00FE2C00"/>
    <w:rsid w:val="00FE589C"/>
    <w:rsid w:val="00FF0B8A"/>
    <w:rsid w:val="00FF38ED"/>
    <w:rsid w:val="00FF41F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8991-E8E6-4CDD-9E19-06A1B17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Ткаченко</cp:lastModifiedBy>
  <cp:revision>11</cp:revision>
  <cp:lastPrinted>2019-03-20T08:57:00Z</cp:lastPrinted>
  <dcterms:created xsi:type="dcterms:W3CDTF">2022-11-29T08:55:00Z</dcterms:created>
  <dcterms:modified xsi:type="dcterms:W3CDTF">2022-12-21T08:29:00Z</dcterms:modified>
</cp:coreProperties>
</file>