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1774"/>
        <w:gridCol w:w="4926"/>
      </w:tblGrid>
      <w:tr w:rsidR="00D0120C" w:rsidRPr="00D0120C" w:rsidTr="005A3A01">
        <w:tc>
          <w:tcPr>
            <w:tcW w:w="3296" w:type="dxa"/>
            <w:shd w:val="clear" w:color="auto" w:fill="auto"/>
          </w:tcPr>
          <w:p w:rsidR="00735751" w:rsidRPr="00D0120C" w:rsidRDefault="00735751" w:rsidP="00E54903"/>
        </w:tc>
        <w:tc>
          <w:tcPr>
            <w:tcW w:w="1774" w:type="dxa"/>
            <w:shd w:val="clear" w:color="auto" w:fill="auto"/>
          </w:tcPr>
          <w:p w:rsidR="00735751" w:rsidRPr="00D0120C" w:rsidRDefault="00735751" w:rsidP="00E54903"/>
        </w:tc>
        <w:tc>
          <w:tcPr>
            <w:tcW w:w="4926" w:type="dxa"/>
            <w:vMerge w:val="restart"/>
            <w:shd w:val="clear" w:color="auto" w:fill="auto"/>
          </w:tcPr>
          <w:p w:rsidR="00FF5208" w:rsidRPr="00D0120C" w:rsidRDefault="00FF5208" w:rsidP="00FF5208">
            <w:pPr>
              <w:ind w:firstLine="34"/>
            </w:pPr>
            <w:r w:rsidRPr="00D0120C">
              <w:t>УТВЕРЖДЕНО</w:t>
            </w:r>
          </w:p>
          <w:p w:rsidR="00FF5208" w:rsidRPr="00D0120C" w:rsidRDefault="00FF5208" w:rsidP="00FF5208">
            <w:pPr>
              <w:ind w:firstLine="34"/>
            </w:pPr>
            <w:r w:rsidRPr="00D0120C">
              <w:t xml:space="preserve">Решением Общего собрания членов </w:t>
            </w:r>
          </w:p>
          <w:p w:rsidR="00FF5208" w:rsidRPr="00D0120C" w:rsidRDefault="00BA089C" w:rsidP="00FF5208">
            <w:pPr>
              <w:ind w:firstLine="34"/>
            </w:pPr>
            <w:r w:rsidRPr="00D0120C">
              <w:t>НП</w:t>
            </w:r>
            <w:r w:rsidR="00FF5208" w:rsidRPr="00D0120C">
              <w:t xml:space="preserve"> СРО «Нефтегазпроект-Альянс»</w:t>
            </w:r>
          </w:p>
          <w:p w:rsidR="00FF5208" w:rsidRPr="00D0120C" w:rsidRDefault="00FF5208" w:rsidP="00FF5208">
            <w:pPr>
              <w:ind w:firstLine="34"/>
            </w:pPr>
            <w:r w:rsidRPr="00D0120C">
              <w:t xml:space="preserve">от </w:t>
            </w:r>
            <w:r w:rsidR="00BA089C" w:rsidRPr="00D0120C">
              <w:t>13.04.2017</w:t>
            </w:r>
            <w:r w:rsidRPr="00D0120C">
              <w:t>, протокол № 2</w:t>
            </w:r>
            <w:r w:rsidR="00BA089C" w:rsidRPr="00D0120C">
              <w:t>1</w:t>
            </w:r>
          </w:p>
          <w:p w:rsidR="00BA089C" w:rsidRPr="00D0120C" w:rsidRDefault="00BA089C" w:rsidP="00FF5208">
            <w:pPr>
              <w:ind w:firstLine="34"/>
            </w:pPr>
          </w:p>
          <w:p w:rsidR="005A3A01" w:rsidRDefault="00186DC1" w:rsidP="00186DC1">
            <w:pPr>
              <w:ind w:firstLine="0"/>
            </w:pPr>
            <w:r>
              <w:t>в</w:t>
            </w:r>
            <w:r w:rsidR="005A3A01" w:rsidRPr="005A3A01">
              <w:t xml:space="preserve"> редакции решения общего собрания членов Ассоциации СРО «Нефтегазпроект-Альянс», протокол от 21.03.2019 № 28</w:t>
            </w:r>
          </w:p>
          <w:p w:rsidR="005A3A01" w:rsidRDefault="005A3A01" w:rsidP="00FF5208">
            <w:pPr>
              <w:ind w:firstLine="34"/>
            </w:pPr>
          </w:p>
          <w:p w:rsidR="00735751" w:rsidRPr="00D0120C" w:rsidRDefault="00CA10F4" w:rsidP="00FF5208">
            <w:pPr>
              <w:ind w:firstLine="34"/>
            </w:pPr>
            <w:r w:rsidRPr="00D0120C">
              <w:t xml:space="preserve"> </w:t>
            </w:r>
          </w:p>
          <w:p w:rsidR="00735751" w:rsidRPr="00D0120C" w:rsidRDefault="00735751" w:rsidP="005A3A01">
            <w:pPr>
              <w:ind w:firstLine="34"/>
              <w:jc w:val="left"/>
            </w:pPr>
            <w:r w:rsidRPr="00D0120C">
              <w:t>Председатель</w:t>
            </w:r>
          </w:p>
          <w:p w:rsidR="00735751" w:rsidRPr="00D0120C" w:rsidRDefault="00735751" w:rsidP="005A3A01">
            <w:pPr>
              <w:ind w:firstLine="34"/>
              <w:jc w:val="right"/>
            </w:pPr>
          </w:p>
          <w:p w:rsidR="005A3A01" w:rsidRDefault="005A3A01" w:rsidP="005A3A01">
            <w:pPr>
              <w:ind w:firstLine="34"/>
              <w:jc w:val="right"/>
            </w:pPr>
          </w:p>
          <w:p w:rsidR="005A3A01" w:rsidRDefault="005A3A01" w:rsidP="005A3A01">
            <w:pPr>
              <w:ind w:firstLine="34"/>
              <w:jc w:val="right"/>
            </w:pPr>
          </w:p>
          <w:p w:rsidR="00735751" w:rsidRPr="00D0120C" w:rsidRDefault="00735751" w:rsidP="005A3A01">
            <w:pPr>
              <w:ind w:firstLine="34"/>
              <w:jc w:val="right"/>
            </w:pPr>
            <w:r w:rsidRPr="00D0120C">
              <w:t>_______________И.А. Заикин</w:t>
            </w:r>
          </w:p>
        </w:tc>
      </w:tr>
      <w:tr w:rsidR="00D0120C" w:rsidRPr="00D0120C" w:rsidTr="005A3A01">
        <w:tc>
          <w:tcPr>
            <w:tcW w:w="3296" w:type="dxa"/>
            <w:shd w:val="clear" w:color="auto" w:fill="auto"/>
          </w:tcPr>
          <w:p w:rsidR="00735751" w:rsidRPr="00D0120C" w:rsidRDefault="00735751" w:rsidP="00E54903"/>
        </w:tc>
        <w:tc>
          <w:tcPr>
            <w:tcW w:w="1774" w:type="dxa"/>
            <w:shd w:val="clear" w:color="auto" w:fill="auto"/>
          </w:tcPr>
          <w:p w:rsidR="00735751" w:rsidRPr="00D0120C" w:rsidRDefault="00735751" w:rsidP="00E54903"/>
        </w:tc>
        <w:tc>
          <w:tcPr>
            <w:tcW w:w="4926" w:type="dxa"/>
            <w:vMerge/>
            <w:shd w:val="clear" w:color="auto" w:fill="auto"/>
          </w:tcPr>
          <w:p w:rsidR="00735751" w:rsidRPr="00D0120C" w:rsidRDefault="00735751" w:rsidP="00E54903"/>
        </w:tc>
      </w:tr>
      <w:tr w:rsidR="00735751" w:rsidRPr="00D0120C" w:rsidTr="005A3A01">
        <w:tc>
          <w:tcPr>
            <w:tcW w:w="3296" w:type="dxa"/>
            <w:shd w:val="clear" w:color="auto" w:fill="auto"/>
          </w:tcPr>
          <w:p w:rsidR="00735751" w:rsidRPr="00D0120C" w:rsidRDefault="00735751" w:rsidP="00E54903"/>
        </w:tc>
        <w:tc>
          <w:tcPr>
            <w:tcW w:w="1774" w:type="dxa"/>
            <w:shd w:val="clear" w:color="auto" w:fill="auto"/>
          </w:tcPr>
          <w:p w:rsidR="00735751" w:rsidRPr="00D0120C" w:rsidRDefault="00735751" w:rsidP="00E54903"/>
        </w:tc>
        <w:tc>
          <w:tcPr>
            <w:tcW w:w="4926" w:type="dxa"/>
            <w:vMerge/>
            <w:shd w:val="clear" w:color="auto" w:fill="auto"/>
          </w:tcPr>
          <w:p w:rsidR="00735751" w:rsidRPr="00D0120C" w:rsidRDefault="00735751" w:rsidP="00E54903"/>
        </w:tc>
      </w:tr>
    </w:tbl>
    <w:p w:rsidR="00735751" w:rsidRPr="00D0120C" w:rsidRDefault="00735751" w:rsidP="00E54903"/>
    <w:p w:rsidR="00735751" w:rsidRPr="00D0120C" w:rsidRDefault="00735751" w:rsidP="00E54903"/>
    <w:p w:rsidR="00735751" w:rsidRPr="00D0120C" w:rsidRDefault="00735751" w:rsidP="00E54903"/>
    <w:p w:rsidR="009919D1" w:rsidRPr="00D0120C" w:rsidRDefault="009919D1" w:rsidP="00E54903"/>
    <w:p w:rsidR="009919D1" w:rsidRPr="00D0120C" w:rsidRDefault="009919D1" w:rsidP="00E54903"/>
    <w:p w:rsidR="00735751" w:rsidRPr="00D0120C" w:rsidRDefault="00735751" w:rsidP="00E54903"/>
    <w:p w:rsidR="00735751" w:rsidRPr="00D0120C" w:rsidRDefault="00735751" w:rsidP="00E54903"/>
    <w:p w:rsidR="00E54903" w:rsidRPr="00D0120C" w:rsidRDefault="00735751" w:rsidP="00E54903">
      <w:pPr>
        <w:ind w:firstLine="0"/>
        <w:jc w:val="center"/>
        <w:rPr>
          <w:b/>
          <w:sz w:val="28"/>
          <w:szCs w:val="28"/>
        </w:rPr>
      </w:pPr>
      <w:r w:rsidRPr="00D0120C">
        <w:rPr>
          <w:b/>
          <w:sz w:val="28"/>
          <w:szCs w:val="28"/>
        </w:rPr>
        <w:t xml:space="preserve">Положение </w:t>
      </w:r>
    </w:p>
    <w:p w:rsidR="007F09E1" w:rsidRPr="00D0120C" w:rsidRDefault="007019C2" w:rsidP="00E54903">
      <w:pPr>
        <w:ind w:firstLine="0"/>
        <w:jc w:val="center"/>
        <w:rPr>
          <w:b/>
          <w:sz w:val="28"/>
          <w:szCs w:val="28"/>
        </w:rPr>
      </w:pPr>
      <w:r w:rsidRPr="00D0120C">
        <w:rPr>
          <w:b/>
          <w:sz w:val="28"/>
          <w:szCs w:val="28"/>
        </w:rPr>
        <w:t xml:space="preserve">о проведении </w:t>
      </w:r>
      <w:r w:rsidR="00CA10F4" w:rsidRPr="00D0120C">
        <w:rPr>
          <w:b/>
          <w:sz w:val="28"/>
          <w:szCs w:val="28"/>
        </w:rPr>
        <w:t>Ассоциаци</w:t>
      </w:r>
      <w:r w:rsidR="000A5B26" w:rsidRPr="00D0120C">
        <w:rPr>
          <w:b/>
          <w:sz w:val="28"/>
          <w:szCs w:val="28"/>
        </w:rPr>
        <w:t>ей</w:t>
      </w:r>
      <w:r w:rsidRPr="00D0120C">
        <w:rPr>
          <w:b/>
          <w:sz w:val="28"/>
          <w:szCs w:val="28"/>
        </w:rPr>
        <w:t xml:space="preserve"> СРО «Нефтегазпроект-Альянс»</w:t>
      </w:r>
    </w:p>
    <w:p w:rsidR="00735751" w:rsidRPr="00D0120C" w:rsidRDefault="007019C2" w:rsidP="00E54903">
      <w:pPr>
        <w:ind w:firstLine="0"/>
        <w:jc w:val="center"/>
        <w:rPr>
          <w:b/>
          <w:sz w:val="28"/>
          <w:szCs w:val="28"/>
        </w:rPr>
      </w:pPr>
      <w:r w:rsidRPr="00D0120C">
        <w:rPr>
          <w:b/>
          <w:sz w:val="28"/>
          <w:szCs w:val="28"/>
        </w:rPr>
        <w:t>анализа деятельности своих членов на основании информации, представляемой ими в форме отчетов</w:t>
      </w:r>
    </w:p>
    <w:p w:rsidR="00735751" w:rsidRPr="00D0120C" w:rsidRDefault="00735751" w:rsidP="00E54903"/>
    <w:p w:rsidR="000A5B26" w:rsidRPr="00D0120C" w:rsidRDefault="000A5B26" w:rsidP="000A5B26">
      <w:pPr>
        <w:rPr>
          <w:strike/>
        </w:rPr>
      </w:pPr>
    </w:p>
    <w:p w:rsidR="00735751" w:rsidRPr="00D0120C" w:rsidRDefault="00735751" w:rsidP="00E54903"/>
    <w:p w:rsidR="00735751" w:rsidRPr="00D0120C" w:rsidRDefault="00735751" w:rsidP="00E54903"/>
    <w:p w:rsidR="00735751" w:rsidRPr="00D0120C" w:rsidRDefault="00735751" w:rsidP="00E54903"/>
    <w:p w:rsidR="00735751" w:rsidRPr="00D0120C" w:rsidRDefault="00735751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B73B5A" w:rsidRPr="00D0120C" w:rsidRDefault="00B73B5A" w:rsidP="00E54903"/>
    <w:p w:rsidR="00B73B5A" w:rsidRPr="00D0120C" w:rsidRDefault="00B73B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735751" w:rsidRPr="00D0120C" w:rsidRDefault="00735751" w:rsidP="00E54903"/>
    <w:p w:rsidR="00735751" w:rsidRPr="00D0120C" w:rsidRDefault="00735751" w:rsidP="00E54903"/>
    <w:p w:rsidR="00735751" w:rsidRPr="00D0120C" w:rsidRDefault="00735751" w:rsidP="001C455A">
      <w:pPr>
        <w:ind w:firstLine="0"/>
        <w:jc w:val="center"/>
      </w:pPr>
      <w:r w:rsidRPr="00D0120C">
        <w:t>Москва</w:t>
      </w:r>
    </w:p>
    <w:p w:rsidR="003C5577" w:rsidRPr="00D0120C" w:rsidRDefault="00735751" w:rsidP="001C455A">
      <w:pPr>
        <w:ind w:firstLine="0"/>
        <w:jc w:val="center"/>
        <w:sectPr w:rsidR="003C5577" w:rsidRPr="00D0120C" w:rsidSect="009919D1">
          <w:footerReference w:type="default" r:id="rId8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  <w:r w:rsidRPr="00D0120C">
        <w:t>201</w:t>
      </w:r>
      <w:r w:rsidR="005A3A01">
        <w:t>9</w:t>
      </w:r>
    </w:p>
    <w:p w:rsidR="00E54903" w:rsidRPr="00D0120C" w:rsidRDefault="00E54903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</w:rPr>
      </w:pPr>
      <w:r w:rsidRPr="00D0120C">
        <w:rPr>
          <w:b/>
        </w:rPr>
        <w:lastRenderedPageBreak/>
        <w:t>Общие положения</w:t>
      </w:r>
    </w:p>
    <w:p w:rsidR="00E54903" w:rsidRPr="00D0120C" w:rsidRDefault="00534318" w:rsidP="00D0120C">
      <w:pPr>
        <w:pStyle w:val="a7"/>
        <w:numPr>
          <w:ilvl w:val="1"/>
          <w:numId w:val="1"/>
        </w:numPr>
        <w:spacing w:line="360" w:lineRule="auto"/>
      </w:pPr>
      <w:proofErr w:type="gramStart"/>
      <w:r w:rsidRPr="00D0120C">
        <w:t xml:space="preserve">Настоящее </w:t>
      </w:r>
      <w:r w:rsidR="00012D47" w:rsidRPr="00D0120C">
        <w:t>Положение о проведении Ассоциацией СРО «Нефтегазпроект-Альянс» анализа деятельности своих членов на основании информации, представляемой ими в форме отчётов (далее также - Положение),</w:t>
      </w:r>
      <w:r w:rsidRPr="00D0120C">
        <w:t xml:space="preserve"> разработано в соответствии с Градостроительным кодексом Российской Федерации, 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Pr="00D0120C">
          <w:t>2007 г</w:t>
        </w:r>
      </w:smartTag>
      <w:r w:rsidRPr="00D0120C">
        <w:t>. № 315-ФЗ «О саморегулируемых организациях», Уставом Ассоциации саморегулируемой организации «Объединение проектировщиков объектов топливно-энергетического комплекса «Нефтегазпроект-Альянс» (далее также - СРО)</w:t>
      </w:r>
      <w:r w:rsidR="001F4EC1" w:rsidRPr="00D0120C">
        <w:t>.</w:t>
      </w:r>
      <w:proofErr w:type="gramEnd"/>
    </w:p>
    <w:p w:rsidR="001F4EC1" w:rsidRPr="00D0120C" w:rsidRDefault="001F4EC1" w:rsidP="00D0120C">
      <w:pPr>
        <w:pStyle w:val="a7"/>
        <w:numPr>
          <w:ilvl w:val="1"/>
          <w:numId w:val="1"/>
        </w:numPr>
        <w:spacing w:line="360" w:lineRule="auto"/>
      </w:pPr>
      <w:r w:rsidRPr="00D0120C">
        <w:t>Положение является внутренним документом СРО</w:t>
      </w:r>
      <w:r w:rsidR="00BF7195" w:rsidRPr="00D0120C">
        <w:t>.</w:t>
      </w:r>
    </w:p>
    <w:p w:rsidR="00534318" w:rsidRPr="00D0120C" w:rsidRDefault="00534318" w:rsidP="00D0120C">
      <w:pPr>
        <w:pStyle w:val="a7"/>
        <w:numPr>
          <w:ilvl w:val="1"/>
          <w:numId w:val="1"/>
        </w:numPr>
        <w:spacing w:line="360" w:lineRule="auto"/>
      </w:pPr>
      <w:r w:rsidRPr="00D0120C">
        <w:t>Требования настоящего Положения направлены на обеспечение формирования обобщённых сведений о членах СРО, их актуализацию с целью осуществления функций СРО.</w:t>
      </w:r>
    </w:p>
    <w:p w:rsidR="00534318" w:rsidRPr="00D0120C" w:rsidRDefault="00534318" w:rsidP="00D0120C">
      <w:pPr>
        <w:pStyle w:val="a7"/>
        <w:numPr>
          <w:ilvl w:val="1"/>
          <w:numId w:val="1"/>
        </w:numPr>
        <w:spacing w:line="360" w:lineRule="auto"/>
      </w:pPr>
      <w:r w:rsidRPr="00D0120C">
        <w:t>Требования настоящего Положения обязательны для соблюдения всеми членами СРО, органами управления, специализированными органами и работниками СРО.</w:t>
      </w:r>
    </w:p>
    <w:p w:rsidR="00534318" w:rsidRPr="00D0120C" w:rsidRDefault="00295335" w:rsidP="00D0120C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СРО осуществляет </w:t>
      </w:r>
      <w:r w:rsidR="00C1730C" w:rsidRPr="00D0120C">
        <w:t>А</w:t>
      </w:r>
      <w:r w:rsidRPr="00D0120C">
        <w:t xml:space="preserve">нализ деятельности своих членов </w:t>
      </w:r>
      <w:r w:rsidR="00C1730C" w:rsidRPr="00D0120C">
        <w:t xml:space="preserve">(далее также – Анализ) </w:t>
      </w:r>
      <w:r w:rsidRPr="00D0120C">
        <w:t xml:space="preserve">на основании Отчётов о деятельности члена саморегулируемой организации (далее также – Отчёт) оформленных в соответствии с </w:t>
      </w:r>
      <w:r w:rsidR="00012D47" w:rsidRPr="00D0120C">
        <w:t xml:space="preserve">формой </w:t>
      </w:r>
      <w:r w:rsidR="00C1730C" w:rsidRPr="00D0120C">
        <w:t xml:space="preserve">отчёта </w:t>
      </w:r>
      <w:r w:rsidR="00284B49" w:rsidRPr="00D0120C">
        <w:t>(</w:t>
      </w:r>
      <w:r w:rsidR="00A0457F">
        <w:t>согласно утвержденной форме</w:t>
      </w:r>
      <w:r w:rsidR="00284B49" w:rsidRPr="00D0120C">
        <w:t>)</w:t>
      </w:r>
      <w:r w:rsidR="00012D47" w:rsidRPr="00D0120C">
        <w:t>,</w:t>
      </w:r>
      <w:r w:rsidRPr="00D0120C">
        <w:t xml:space="preserve"> за предыдущий календарный год, а также на основании иной информации, получаемой от членов СРО по отдельным запросам и иных источников достоверной информации.</w:t>
      </w:r>
    </w:p>
    <w:p w:rsidR="000D04AE" w:rsidRPr="00D0120C" w:rsidRDefault="000D04AE" w:rsidP="00D0120C">
      <w:pPr>
        <w:pStyle w:val="a7"/>
        <w:numPr>
          <w:ilvl w:val="1"/>
          <w:numId w:val="1"/>
        </w:numPr>
        <w:spacing w:line="360" w:lineRule="auto"/>
      </w:pPr>
      <w:r w:rsidRPr="00D0120C">
        <w:t>Форма отчёта утверждается исполнительным органом СРО.</w:t>
      </w:r>
    </w:p>
    <w:p w:rsidR="00C1730C" w:rsidRPr="00D0120C" w:rsidRDefault="00C1730C" w:rsidP="00D0120C">
      <w:pPr>
        <w:pStyle w:val="a7"/>
        <w:numPr>
          <w:ilvl w:val="1"/>
          <w:numId w:val="1"/>
        </w:numPr>
        <w:spacing w:line="360" w:lineRule="auto"/>
      </w:pPr>
      <w:r w:rsidRPr="00D0120C">
        <w:t>Источниками достоверной информации, используемой СРО для анализа деятельности членов, является отчёт и документы, установленные формой отчёта; сайт члена СРО в 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BA3F03" w:rsidRPr="00D0120C" w:rsidRDefault="00BA3F03" w:rsidP="00D0120C">
      <w:pPr>
        <w:pStyle w:val="a7"/>
        <w:numPr>
          <w:ilvl w:val="1"/>
          <w:numId w:val="1"/>
        </w:numPr>
        <w:spacing w:line="360" w:lineRule="auto"/>
      </w:pPr>
      <w:r w:rsidRPr="00D0120C">
        <w:t>Члены СРО обязаны представлять отчеты в порядке, предусмотренном настоящим Положением.</w:t>
      </w:r>
    </w:p>
    <w:p w:rsidR="00BA3F03" w:rsidRPr="00D0120C" w:rsidRDefault="00BA3F03" w:rsidP="00D0120C">
      <w:pPr>
        <w:pStyle w:val="a7"/>
        <w:numPr>
          <w:ilvl w:val="1"/>
          <w:numId w:val="1"/>
        </w:numPr>
        <w:spacing w:line="360" w:lineRule="auto"/>
      </w:pPr>
      <w:r w:rsidRPr="00D0120C">
        <w:t>Непредставление отчёта,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BA3F03" w:rsidRPr="00D0120C" w:rsidRDefault="00BA3F03" w:rsidP="00D0120C">
      <w:pPr>
        <w:pStyle w:val="a7"/>
        <w:numPr>
          <w:ilvl w:val="1"/>
          <w:numId w:val="1"/>
        </w:numPr>
        <w:spacing w:line="360" w:lineRule="auto"/>
      </w:pPr>
      <w:r w:rsidRPr="00D0120C">
        <w:t>СРО не несёт ответственности за достоверность сведений, представленных членами СРО.</w:t>
      </w:r>
    </w:p>
    <w:p w:rsidR="00EB08EC" w:rsidRPr="00D0120C" w:rsidRDefault="004A4F17" w:rsidP="00D0120C">
      <w:pPr>
        <w:pStyle w:val="a7"/>
        <w:numPr>
          <w:ilvl w:val="1"/>
          <w:numId w:val="1"/>
        </w:numPr>
        <w:spacing w:line="360" w:lineRule="auto"/>
      </w:pPr>
      <w:r w:rsidRPr="00D0120C">
        <w:lastRenderedPageBreak/>
        <w:t>Целью регулирования, установленного Положением, является</w:t>
      </w:r>
      <w:r w:rsidR="00EB08EC" w:rsidRPr="00D0120C">
        <w:t>:</w:t>
      </w:r>
    </w:p>
    <w:p w:rsidR="00EB08EC" w:rsidRPr="00D0120C" w:rsidRDefault="00956D11" w:rsidP="00EB08EC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 xml:space="preserve">формирование и доведение до всеобщего сведения обобщенной информации о деятельности </w:t>
      </w:r>
      <w:r w:rsidR="00CA10F4" w:rsidRPr="00D0120C">
        <w:t xml:space="preserve">членов </w:t>
      </w:r>
      <w:r w:rsidR="00BF7195" w:rsidRPr="00D0120C">
        <w:t xml:space="preserve">СРО </w:t>
      </w:r>
      <w:r w:rsidRPr="00D0120C">
        <w:t xml:space="preserve">для обеспечения информационной открытости затрагивающей права и законные интересы любых лиц деятельности </w:t>
      </w:r>
      <w:r w:rsidR="00CA10F4" w:rsidRPr="00D0120C">
        <w:t xml:space="preserve">членов </w:t>
      </w:r>
      <w:r w:rsidR="00BF7195" w:rsidRPr="00D0120C">
        <w:t>СРО</w:t>
      </w:r>
      <w:r w:rsidR="00EB08EC" w:rsidRPr="00D0120C">
        <w:t>;</w:t>
      </w:r>
    </w:p>
    <w:p w:rsidR="00EB08EC" w:rsidRPr="00D0120C" w:rsidRDefault="004A4F17" w:rsidP="00EB08EC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 xml:space="preserve">предупреждение нарушения членами </w:t>
      </w:r>
      <w:r w:rsidR="00BF7195" w:rsidRPr="00D0120C">
        <w:t xml:space="preserve">СРО </w:t>
      </w:r>
      <w:r w:rsidRPr="00D0120C">
        <w:t>требований</w:t>
      </w:r>
      <w:r w:rsidR="00956D11" w:rsidRPr="00D0120C">
        <w:t xml:space="preserve"> внутренних документов </w:t>
      </w:r>
      <w:r w:rsidR="00BF7195" w:rsidRPr="00D0120C">
        <w:t>СРО</w:t>
      </w:r>
      <w:r w:rsidR="00956D11" w:rsidRPr="00D0120C">
        <w:t>,</w:t>
      </w:r>
      <w:r w:rsidRPr="00D0120C">
        <w:t xml:space="preserve"> законодательства Российской Федерации о градостроительной деятельности</w:t>
      </w:r>
      <w:r w:rsidR="00956D11" w:rsidRPr="00D0120C">
        <w:t xml:space="preserve"> и</w:t>
      </w:r>
      <w:r w:rsidRPr="00D0120C">
        <w:t xml:space="preserve"> о техническом регулировании</w:t>
      </w:r>
      <w:r w:rsidR="00EB08EC" w:rsidRPr="00D0120C">
        <w:t>;</w:t>
      </w:r>
    </w:p>
    <w:p w:rsidR="004A4F17" w:rsidRPr="00D0120C" w:rsidRDefault="00EF2F4B" w:rsidP="00EB08EC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 xml:space="preserve">формирование политики, планов и направлений деятельности </w:t>
      </w:r>
      <w:r w:rsidR="00D8287E" w:rsidRPr="00D0120C">
        <w:t xml:space="preserve">СРО </w:t>
      </w:r>
      <w:r w:rsidRPr="00D0120C">
        <w:t>на будущие периоды</w:t>
      </w:r>
      <w:r w:rsidR="00546FFF" w:rsidRPr="00D0120C">
        <w:t>.</w:t>
      </w:r>
    </w:p>
    <w:p w:rsidR="001E2507" w:rsidRPr="00D0120C" w:rsidRDefault="001E2507" w:rsidP="00E73259">
      <w:pPr>
        <w:pStyle w:val="a7"/>
        <w:spacing w:line="360" w:lineRule="auto"/>
        <w:ind w:left="0" w:firstLine="0"/>
        <w:rPr>
          <w:strike/>
          <w:highlight w:val="yellow"/>
        </w:rPr>
      </w:pPr>
    </w:p>
    <w:p w:rsidR="00D8287E" w:rsidRPr="00D0120C" w:rsidRDefault="00D8287E" w:rsidP="00D0120C">
      <w:pPr>
        <w:pStyle w:val="a7"/>
        <w:numPr>
          <w:ilvl w:val="0"/>
          <w:numId w:val="1"/>
        </w:numPr>
        <w:spacing w:line="360" w:lineRule="auto"/>
        <w:jc w:val="center"/>
        <w:rPr>
          <w:b/>
        </w:rPr>
      </w:pPr>
      <w:r w:rsidRPr="00D0120C">
        <w:rPr>
          <w:b/>
        </w:rPr>
        <w:t>Порядок предоставления отчётов членами СРО</w:t>
      </w:r>
    </w:p>
    <w:p w:rsidR="00D0120C" w:rsidRPr="00D0120C" w:rsidRDefault="00D0120C" w:rsidP="00D0120C">
      <w:pPr>
        <w:pStyle w:val="a7"/>
        <w:spacing w:line="360" w:lineRule="auto"/>
        <w:ind w:left="0" w:firstLine="0"/>
        <w:rPr>
          <w:b/>
        </w:rPr>
      </w:pPr>
    </w:p>
    <w:p w:rsidR="00D8287E" w:rsidRPr="00D0120C" w:rsidRDefault="00D8287E" w:rsidP="00D0120C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Член СРО обязан ежегодно предоставлять в СРО отчёт за прошедший календарный год в срок до 1 марта календарного года, следующего за отчётным. </w:t>
      </w:r>
    </w:p>
    <w:p w:rsidR="00D8287E" w:rsidRPr="00D0120C" w:rsidRDefault="00D8287E" w:rsidP="00D0120C">
      <w:pPr>
        <w:pStyle w:val="a7"/>
        <w:numPr>
          <w:ilvl w:val="1"/>
          <w:numId w:val="1"/>
        </w:numPr>
        <w:spacing w:line="360" w:lineRule="auto"/>
      </w:pPr>
      <w:r w:rsidRPr="00D0120C">
        <w:t>В состав отчёта членов СРО включаются сведения, указанные в форме отчёта (</w:t>
      </w:r>
      <w:r w:rsidR="00A0457F">
        <w:t>согласно утвержденной форме</w:t>
      </w:r>
      <w:r w:rsidRPr="00D0120C">
        <w:t>).</w:t>
      </w:r>
    </w:p>
    <w:p w:rsidR="00D8287E" w:rsidRPr="00D0120C" w:rsidRDefault="00D8287E" w:rsidP="00D0120C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Первичный анализ деятельности юридического лица или индивидуального предпринимателя производится на стадии рассмотрения документов на вступление в СРО. </w:t>
      </w:r>
      <w:r w:rsidR="00D0120C" w:rsidRPr="00D0120C">
        <w:t>Кандидат в члены СРО предоставляет отчёта о своей деятельности вместе с заявлением о приёме в члены СРО, при этом в отчёте указываются сведения за текущий год</w:t>
      </w:r>
      <w:r w:rsidRPr="00D0120C">
        <w:t>. Сведения отчёта кандидата в члены СРО после вступления в силу решения о приёме его в СРО учитываются в анализе деятельности членов СРО.</w:t>
      </w:r>
    </w:p>
    <w:p w:rsidR="00544944" w:rsidRPr="00D0120C" w:rsidRDefault="00544944" w:rsidP="00544944">
      <w:pPr>
        <w:pStyle w:val="a7"/>
        <w:spacing w:line="360" w:lineRule="auto"/>
        <w:ind w:left="0" w:firstLine="0"/>
        <w:rPr>
          <w:strike/>
        </w:rPr>
      </w:pPr>
    </w:p>
    <w:p w:rsidR="000D04AE" w:rsidRPr="00D0120C" w:rsidRDefault="000D04AE" w:rsidP="00D0120C">
      <w:pPr>
        <w:pStyle w:val="a7"/>
        <w:numPr>
          <w:ilvl w:val="0"/>
          <w:numId w:val="1"/>
        </w:numPr>
        <w:spacing w:line="360" w:lineRule="auto"/>
        <w:jc w:val="center"/>
        <w:rPr>
          <w:b/>
        </w:rPr>
      </w:pPr>
      <w:bookmarkStart w:id="0" w:name="_Toc460683472"/>
      <w:r w:rsidRPr="00D0120C">
        <w:rPr>
          <w:b/>
        </w:rPr>
        <w:t>Способы получения, обработки, хранения информации, содержащейся в отчётах членов СРО и используемой для анализа деятельности членов саморегулируемой организации</w:t>
      </w:r>
      <w:bookmarkEnd w:id="0"/>
    </w:p>
    <w:p w:rsidR="00B50559" w:rsidRPr="00D0120C" w:rsidRDefault="00B50559" w:rsidP="00B50559">
      <w:pPr>
        <w:spacing w:line="360" w:lineRule="auto"/>
        <w:ind w:firstLine="0"/>
        <w:jc w:val="center"/>
      </w:pPr>
    </w:p>
    <w:p w:rsidR="00BB20A0" w:rsidRPr="00186DC1" w:rsidRDefault="00BB20A0" w:rsidP="00D0120C">
      <w:pPr>
        <w:pStyle w:val="a7"/>
        <w:numPr>
          <w:ilvl w:val="1"/>
          <w:numId w:val="1"/>
        </w:numPr>
        <w:spacing w:line="360" w:lineRule="auto"/>
      </w:pPr>
      <w:r w:rsidRPr="00D0120C">
        <w:t>До официальной отправки отчёта, член СРО обязан направить файл отчёта в формате «.</w:t>
      </w:r>
      <w:r w:rsidRPr="00D0120C">
        <w:rPr>
          <w:lang w:val="en-US"/>
        </w:rPr>
        <w:t>doc</w:t>
      </w:r>
      <w:r w:rsidRPr="00D0120C">
        <w:t xml:space="preserve">» на </w:t>
      </w:r>
      <w:r w:rsidRPr="00186DC1">
        <w:t>согласование (</w:t>
      </w:r>
      <w:proofErr w:type="spellStart"/>
      <w:r w:rsidRPr="00186DC1">
        <w:t>модерацию</w:t>
      </w:r>
      <w:proofErr w:type="spellEnd"/>
      <w:r w:rsidRPr="00186DC1">
        <w:t xml:space="preserve">). </w:t>
      </w:r>
    </w:p>
    <w:p w:rsidR="000D04AE" w:rsidRPr="00186DC1" w:rsidRDefault="00BB20A0" w:rsidP="00D0120C">
      <w:pPr>
        <w:pStyle w:val="a7"/>
        <w:numPr>
          <w:ilvl w:val="1"/>
          <w:numId w:val="1"/>
        </w:numPr>
        <w:spacing w:line="360" w:lineRule="auto"/>
      </w:pPr>
      <w:r w:rsidRPr="00186DC1">
        <w:t xml:space="preserve">После согласования </w:t>
      </w:r>
      <w:r w:rsidR="00B64441" w:rsidRPr="00186DC1">
        <w:rPr>
          <w:highlight w:val="yellow"/>
        </w:rPr>
        <w:t>файла</w:t>
      </w:r>
      <w:r w:rsidR="00B64441" w:rsidRPr="00186DC1">
        <w:t xml:space="preserve"> </w:t>
      </w:r>
      <w:r w:rsidRPr="00186DC1">
        <w:t xml:space="preserve">член </w:t>
      </w:r>
      <w:r w:rsidR="000D04AE" w:rsidRPr="00186DC1">
        <w:t xml:space="preserve">СРО </w:t>
      </w:r>
      <w:r w:rsidRPr="00186DC1">
        <w:t>направляет</w:t>
      </w:r>
      <w:r w:rsidR="000D04AE" w:rsidRPr="00186DC1">
        <w:t xml:space="preserve"> отчёт о деятельности</w:t>
      </w:r>
      <w:r w:rsidR="00D83BDA" w:rsidRPr="00186DC1">
        <w:t xml:space="preserve"> </w:t>
      </w:r>
      <w:r w:rsidR="00E21625" w:rsidRPr="00186DC1">
        <w:t>на бумажном носителе</w:t>
      </w:r>
      <w:r w:rsidR="00D83BDA" w:rsidRPr="00186DC1">
        <w:t xml:space="preserve">, </w:t>
      </w:r>
      <w:r w:rsidR="000D04AE" w:rsidRPr="00186DC1">
        <w:t>почтовым отправлением</w:t>
      </w:r>
      <w:r w:rsidR="00566A14" w:rsidRPr="00186DC1">
        <w:t xml:space="preserve"> </w:t>
      </w:r>
      <w:r w:rsidR="00566A14" w:rsidRPr="00186DC1">
        <w:rPr>
          <w:highlight w:val="yellow"/>
        </w:rPr>
        <w:t>(курьерской доставкой)</w:t>
      </w:r>
      <w:r w:rsidR="000D04AE" w:rsidRPr="00186DC1">
        <w:t>, электронной почтой и иными способами.</w:t>
      </w:r>
    </w:p>
    <w:p w:rsidR="003D5381" w:rsidRPr="00D83BDA" w:rsidRDefault="003D5381" w:rsidP="00D0120C">
      <w:pPr>
        <w:pStyle w:val="a7"/>
        <w:numPr>
          <w:ilvl w:val="1"/>
          <w:numId w:val="1"/>
        </w:numPr>
        <w:spacing w:line="360" w:lineRule="auto"/>
      </w:pPr>
      <w:r w:rsidRPr="00186DC1">
        <w:t>Отчёт</w:t>
      </w:r>
      <w:r w:rsidR="00BB20A0" w:rsidRPr="00186DC1">
        <w:t xml:space="preserve"> (его разделы)</w:t>
      </w:r>
      <w:r w:rsidR="000D04AE" w:rsidRPr="00186DC1">
        <w:t xml:space="preserve">, установленные </w:t>
      </w:r>
      <w:r w:rsidRPr="00186DC1">
        <w:t>формой отчёта (</w:t>
      </w:r>
      <w:r w:rsidR="00A0457F" w:rsidRPr="00186DC1">
        <w:t>согласно утвержденной форме</w:t>
      </w:r>
      <w:r w:rsidRPr="00186DC1">
        <w:t>)</w:t>
      </w:r>
      <w:r w:rsidR="000D04AE" w:rsidRPr="00186DC1">
        <w:t xml:space="preserve">, </w:t>
      </w:r>
      <w:r w:rsidR="00BB20A0" w:rsidRPr="00186DC1">
        <w:t xml:space="preserve">на бумажном носителе </w:t>
      </w:r>
      <w:r w:rsidR="000D04AE" w:rsidRPr="00186DC1">
        <w:t xml:space="preserve">должны быть подписаны руководителем юридического лица, индивидуальным предпринимателем или иными лицами, имеющими </w:t>
      </w:r>
      <w:r w:rsidR="000D04AE" w:rsidRPr="00D83BDA">
        <w:t xml:space="preserve">соответствующие полномочия с приложением документа, подтверждающего такие полномочия (доверенность и т.п.). Копии документов, прилагаемых к указанному </w:t>
      </w:r>
      <w:r w:rsidRPr="00D83BDA">
        <w:t>отчёту</w:t>
      </w:r>
      <w:r w:rsidR="000D04AE" w:rsidRPr="00D83BDA">
        <w:t xml:space="preserve">, </w:t>
      </w:r>
      <w:r w:rsidR="000D04AE" w:rsidRPr="00D83BDA">
        <w:rPr>
          <w:highlight w:val="yellow"/>
        </w:rPr>
        <w:t xml:space="preserve">должны быть заверены </w:t>
      </w:r>
      <w:r w:rsidR="000D04AE" w:rsidRPr="00D83BDA">
        <w:rPr>
          <w:highlight w:val="yellow"/>
        </w:rPr>
        <w:lastRenderedPageBreak/>
        <w:t>руководителем юридического лица, индивидуальным предпринимателем или иными</w:t>
      </w:r>
      <w:r w:rsidR="000D04AE" w:rsidRPr="00D83BDA">
        <w:t xml:space="preserve"> лицами, имеющими соответствующие полномочия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</w:t>
      </w:r>
      <w:r w:rsidR="00A0457F" w:rsidRPr="00D83BDA">
        <w:t>утвержденной формой отчета</w:t>
      </w:r>
      <w:r w:rsidRPr="00D83BDA">
        <w:t>.</w:t>
      </w:r>
    </w:p>
    <w:p w:rsidR="00B23614" w:rsidRPr="00D0120C" w:rsidRDefault="00B23614" w:rsidP="00D0120C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</w:pPr>
      <w:r w:rsidRPr="00D83BDA">
        <w:t xml:space="preserve">Полученная информация обрабатывается </w:t>
      </w:r>
      <w:r w:rsidR="00BB20A0" w:rsidRPr="00D83BDA">
        <w:t xml:space="preserve">СРО </w:t>
      </w:r>
      <w:r w:rsidRPr="00D83BDA">
        <w:t>в соответствии с внутренним</w:t>
      </w:r>
      <w:r w:rsidRPr="00D0120C">
        <w:t xml:space="preserve"> документом </w:t>
      </w:r>
      <w:r w:rsidR="00BB20A0" w:rsidRPr="00D0120C">
        <w:t>СРО</w:t>
      </w:r>
      <w:r w:rsidRPr="00D0120C">
        <w:t xml:space="preserve">, предусматривающим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</w:t>
      </w:r>
      <w:r w:rsidR="00045151" w:rsidRPr="00D0120C">
        <w:t>Ассоциации</w:t>
      </w:r>
      <w:r w:rsidRPr="00D0120C">
        <w:t xml:space="preserve"> или создать предпосылки для причинения так</w:t>
      </w:r>
      <w:r w:rsidR="00BB20A0" w:rsidRPr="00D0120C">
        <w:t>ого</w:t>
      </w:r>
      <w:r w:rsidRPr="00D0120C">
        <w:t xml:space="preserve"> вреда и (или) ущерба.</w:t>
      </w:r>
    </w:p>
    <w:p w:rsidR="00284B49" w:rsidRPr="00D0120C" w:rsidRDefault="003E5612" w:rsidP="00D0120C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</w:pPr>
      <w:r w:rsidRPr="00D0120C">
        <w:t xml:space="preserve">Отчеты о деятельности хранятся в </w:t>
      </w:r>
      <w:r w:rsidR="00045151" w:rsidRPr="00D0120C">
        <w:t>Ассоциации</w:t>
      </w:r>
      <w:r w:rsidR="00284B49" w:rsidRPr="00D0120C">
        <w:t>.</w:t>
      </w:r>
    </w:p>
    <w:p w:rsidR="00A31D17" w:rsidRPr="00D0120C" w:rsidRDefault="00A31D17" w:rsidP="00033458">
      <w:pPr>
        <w:pStyle w:val="a7"/>
        <w:spacing w:line="360" w:lineRule="auto"/>
        <w:ind w:left="0"/>
        <w:jc w:val="center"/>
      </w:pPr>
      <w:bookmarkStart w:id="1" w:name="_Toc460683471"/>
    </w:p>
    <w:bookmarkEnd w:id="1"/>
    <w:p w:rsidR="003E5612" w:rsidRPr="00D0120C" w:rsidRDefault="00CB3EA5" w:rsidP="003E5612">
      <w:pPr>
        <w:pStyle w:val="a7"/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jc w:val="center"/>
        <w:rPr>
          <w:b/>
        </w:rPr>
      </w:pPr>
      <w:r w:rsidRPr="00D0120C">
        <w:rPr>
          <w:b/>
        </w:rPr>
        <w:t>Методология и р</w:t>
      </w:r>
      <w:r w:rsidR="003E5612" w:rsidRPr="00D0120C">
        <w:rPr>
          <w:b/>
        </w:rPr>
        <w:t>езультаты анализа деятельности</w:t>
      </w:r>
    </w:p>
    <w:p w:rsidR="003E5612" w:rsidRPr="00D0120C" w:rsidRDefault="003E5612" w:rsidP="003E5612">
      <w:pPr>
        <w:pStyle w:val="a7"/>
        <w:tabs>
          <w:tab w:val="left" w:pos="567"/>
          <w:tab w:val="left" w:pos="709"/>
        </w:tabs>
        <w:spacing w:line="360" w:lineRule="auto"/>
        <w:ind w:left="0" w:firstLine="0"/>
        <w:rPr>
          <w:b/>
        </w:rPr>
      </w:pPr>
    </w:p>
    <w:p w:rsidR="00CB3EA5" w:rsidRPr="00D0120C" w:rsidRDefault="00CB3EA5" w:rsidP="00E73259">
      <w:pPr>
        <w:pStyle w:val="a7"/>
        <w:numPr>
          <w:ilvl w:val="1"/>
          <w:numId w:val="1"/>
        </w:numPr>
        <w:spacing w:line="360" w:lineRule="auto"/>
      </w:pPr>
      <w:r w:rsidRPr="00D0120C">
        <w:t>Анализ деятельности может проводиться с применением методов корреляционного анализа, метода сравнения средних, частотного анализа, кластерного и факторного анализа, метода временных рядов, выборочного метода с последующей экстраполяцией, а также с применением иных научно обоснованных методов, являющихся в совокупности методологией анализа деятельности.</w:t>
      </w:r>
    </w:p>
    <w:p w:rsidR="00EB08EC" w:rsidRPr="00D0120C" w:rsidRDefault="00EB08EC" w:rsidP="00E73259">
      <w:pPr>
        <w:pStyle w:val="a7"/>
        <w:numPr>
          <w:ilvl w:val="1"/>
          <w:numId w:val="1"/>
        </w:numPr>
        <w:spacing w:line="360" w:lineRule="auto"/>
      </w:pPr>
      <w:r w:rsidRPr="00D0120C">
        <w:t>Анализ показателей, не имеющих числового выражения, в том числе географических данных, проводится в форме исследования таких данных и формирования обобщенных сведений в текстовой форме.</w:t>
      </w:r>
    </w:p>
    <w:p w:rsidR="00EB08EC" w:rsidRPr="00D0120C" w:rsidRDefault="00EB08EC" w:rsidP="00E73259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Анализ показателей, имеющих числовое выражение, проводится посредством исследования средних значений с </w:t>
      </w:r>
      <w:r w:rsidR="00E2796E" w:rsidRPr="00D0120C">
        <w:t>применением методов среднеквадратического отклонения и/или коэффициента вариации, определения коэффициента корреляции средних</w:t>
      </w:r>
      <w:r w:rsidR="00792F96" w:rsidRPr="00D0120C">
        <w:t xml:space="preserve"> и абсолютных значений,</w:t>
      </w:r>
      <w:r w:rsidR="00E2796E" w:rsidRPr="00D0120C">
        <w:t xml:space="preserve"> анализа рядов динамики (в том числе с построением тренда). Под средними значениями, как правило, понимаются значения среднего арифметического</w:t>
      </w:r>
      <w:r w:rsidR="00437F8D" w:rsidRPr="00D0120C">
        <w:t xml:space="preserve"> и среднего арифметического взвешенного</w:t>
      </w:r>
      <w:r w:rsidR="00E2796E" w:rsidRPr="00D0120C">
        <w:t>.</w:t>
      </w:r>
    </w:p>
    <w:p w:rsidR="00E2796E" w:rsidRPr="00D0120C" w:rsidRDefault="00E2796E" w:rsidP="00E2796E">
      <w:pPr>
        <w:pStyle w:val="a7"/>
        <w:numPr>
          <w:ilvl w:val="1"/>
          <w:numId w:val="1"/>
        </w:numPr>
        <w:spacing w:line="360" w:lineRule="auto"/>
      </w:pPr>
      <w:r w:rsidRPr="00D0120C">
        <w:t>Применяемая методология</w:t>
      </w:r>
      <w:r w:rsidR="00EB4F6D" w:rsidRPr="00D0120C">
        <w:t xml:space="preserve"> и исследуемые показатели</w:t>
      </w:r>
      <w:r w:rsidRPr="00D0120C">
        <w:t xml:space="preserve"> </w:t>
      </w:r>
      <w:r w:rsidR="00EB4F6D" w:rsidRPr="00D0120C">
        <w:t>могут</w:t>
      </w:r>
      <w:r w:rsidRPr="00D0120C">
        <w:t xml:space="preserve"> изменяться в зависимости от целесообразности в текущих финансово-</w:t>
      </w:r>
      <w:bookmarkStart w:id="2" w:name="_GoBack"/>
      <w:bookmarkEnd w:id="2"/>
      <w:r w:rsidRPr="00D0120C">
        <w:t xml:space="preserve">экономических условиях с учетом фактического состояния области, в которой </w:t>
      </w:r>
      <w:r w:rsidR="00644060" w:rsidRPr="00D0120C">
        <w:t xml:space="preserve">СРО </w:t>
      </w:r>
      <w:r w:rsidRPr="00D0120C">
        <w:t>осуществляет свою деятельность.</w:t>
      </w:r>
    </w:p>
    <w:p w:rsidR="00DA0086" w:rsidRPr="00D0120C" w:rsidRDefault="00DA0086" w:rsidP="00E2796E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Анализу с применением </w:t>
      </w:r>
      <w:r w:rsidR="00644060" w:rsidRPr="00D0120C">
        <w:t>определённой</w:t>
      </w:r>
      <w:r w:rsidRPr="00D0120C">
        <w:t xml:space="preserve"> Положением методологии </w:t>
      </w:r>
      <w:r w:rsidR="00644060" w:rsidRPr="00D0120C">
        <w:t xml:space="preserve">могут </w:t>
      </w:r>
      <w:r w:rsidRPr="00D0120C">
        <w:t>подлежат</w:t>
      </w:r>
      <w:r w:rsidR="00644060" w:rsidRPr="00D0120C">
        <w:t>ь</w:t>
      </w:r>
      <w:r w:rsidRPr="00D0120C">
        <w:t xml:space="preserve"> </w:t>
      </w:r>
      <w:r w:rsidR="00644060" w:rsidRPr="00D0120C">
        <w:t xml:space="preserve">любые </w:t>
      </w:r>
      <w:r w:rsidRPr="00D0120C">
        <w:t>показатели</w:t>
      </w:r>
      <w:r w:rsidR="00644060" w:rsidRPr="00D0120C">
        <w:t xml:space="preserve"> деятельности членов СРО в том числе такие как</w:t>
      </w:r>
      <w:r w:rsidRPr="00D0120C">
        <w:t>:</w:t>
      </w:r>
    </w:p>
    <w:p w:rsidR="00644060" w:rsidRPr="00D0120C" w:rsidRDefault="00644060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>географические данные</w:t>
      </w:r>
      <w:r w:rsidR="00B128E7" w:rsidRPr="00D0120C">
        <w:t xml:space="preserve"> (место расположения)</w:t>
      </w:r>
      <w:r w:rsidRPr="00D0120C">
        <w:t>;</w:t>
      </w:r>
    </w:p>
    <w:p w:rsidR="00644060" w:rsidRPr="00D0120C" w:rsidRDefault="00644060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proofErr w:type="spellStart"/>
      <w:r w:rsidRPr="00D0120C">
        <w:t>аффилированность</w:t>
      </w:r>
      <w:proofErr w:type="spellEnd"/>
      <w:r w:rsidRPr="00D0120C">
        <w:t xml:space="preserve"> (зависимость) члена СРО;</w:t>
      </w:r>
    </w:p>
    <w:p w:rsidR="00644060" w:rsidRPr="00D0120C" w:rsidRDefault="00B128E7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>значимость</w:t>
      </w:r>
      <w:r w:rsidR="00644060" w:rsidRPr="00D0120C">
        <w:t xml:space="preserve"> проектной деятельности члена СРО по отношению к основной </w:t>
      </w:r>
      <w:r w:rsidRPr="00D0120C">
        <w:t xml:space="preserve">его </w:t>
      </w:r>
      <w:r w:rsidR="00644060" w:rsidRPr="00D0120C">
        <w:t>деятельности</w:t>
      </w:r>
      <w:r w:rsidRPr="00D0120C">
        <w:t xml:space="preserve"> (основная / не основная);</w:t>
      </w:r>
    </w:p>
    <w:p w:rsidR="00B128E7" w:rsidRPr="00D0120C" w:rsidRDefault="00B128E7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>классификация деятельности члена СРО по отношению к проектной деятельности;</w:t>
      </w:r>
    </w:p>
    <w:p w:rsidR="00B128E7" w:rsidRPr="00D0120C" w:rsidRDefault="00B128E7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lastRenderedPageBreak/>
        <w:t>сведения о кадровом составе члена СРО;</w:t>
      </w:r>
    </w:p>
    <w:p w:rsidR="002F5FF5" w:rsidRPr="00D0120C" w:rsidRDefault="002F5FF5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>сведения о наличии у члена СРО средств производства работ (вид права на помещения, технические средства, программное обеспечение);</w:t>
      </w:r>
    </w:p>
    <w:p w:rsidR="002F5FF5" w:rsidRPr="00D0120C" w:rsidRDefault="002F5FF5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>сведения о наличии у члена СРО системы регулирующей процессы, относящиеся к проектной деятельности, в том числе контроль качества (внутренние документы</w:t>
      </w:r>
      <w:r w:rsidR="00BA34D0" w:rsidRPr="00D0120C">
        <w:t xml:space="preserve">, факт наличия или </w:t>
      </w:r>
      <w:r w:rsidRPr="00D0120C">
        <w:t>отсутс</w:t>
      </w:r>
      <w:r w:rsidR="00BA34D0" w:rsidRPr="00D0120C">
        <w:t>твия)</w:t>
      </w:r>
    </w:p>
    <w:p w:rsidR="00790BA9" w:rsidRPr="00D0120C" w:rsidRDefault="000A2BF1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rStyle w:val="a8"/>
          <w:bCs w:val="0"/>
        </w:rPr>
      </w:pPr>
      <w:r w:rsidRPr="00D0120C">
        <w:t>сведения о наличии права</w:t>
      </w:r>
      <w:r w:rsidRPr="00D0120C">
        <w:rPr>
          <w:rStyle w:val="a8"/>
          <w:b w:val="0"/>
        </w:rPr>
        <w:t xml:space="preserve"> члена СРО осуществлять деятельность в сфере проектирования и фактическим осуществлением деятельности (уровни ответственности по отношению к </w:t>
      </w:r>
      <w:r w:rsidR="00790BA9" w:rsidRPr="00D0120C">
        <w:rPr>
          <w:rStyle w:val="a8"/>
          <w:b w:val="0"/>
        </w:rPr>
        <w:t xml:space="preserve">Компенсационному фонду возмещения вреда (далее также - </w:t>
      </w:r>
      <w:r w:rsidRPr="00D0120C">
        <w:rPr>
          <w:rStyle w:val="a8"/>
          <w:b w:val="0"/>
        </w:rPr>
        <w:t>КФ ВВ</w:t>
      </w:r>
      <w:r w:rsidR="00790BA9" w:rsidRPr="00D0120C">
        <w:rPr>
          <w:rStyle w:val="a8"/>
          <w:b w:val="0"/>
        </w:rPr>
        <w:t>),</w:t>
      </w:r>
      <w:r w:rsidRPr="00D0120C">
        <w:rPr>
          <w:rStyle w:val="a8"/>
          <w:b w:val="0"/>
        </w:rPr>
        <w:t xml:space="preserve"> </w:t>
      </w:r>
      <w:r w:rsidR="00790BA9" w:rsidRPr="00D0120C">
        <w:rPr>
          <w:rStyle w:val="a8"/>
          <w:b w:val="0"/>
        </w:rPr>
        <w:t xml:space="preserve">Компенсационному фонду обеспечения договорных обязательств (далее также - </w:t>
      </w:r>
      <w:r w:rsidRPr="00D0120C">
        <w:rPr>
          <w:rStyle w:val="a8"/>
          <w:b w:val="0"/>
        </w:rPr>
        <w:t>КФ ОДО</w:t>
      </w:r>
      <w:r w:rsidR="00790BA9" w:rsidRPr="00D0120C">
        <w:rPr>
          <w:rStyle w:val="a8"/>
          <w:b w:val="0"/>
        </w:rPr>
        <w:t>), выполнение работ на особо опасных и технически сложных объектах капитального строительства);</w:t>
      </w:r>
    </w:p>
    <w:p w:rsidR="00790BA9" w:rsidRPr="00D0120C" w:rsidRDefault="00790BA9" w:rsidP="00790BA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>сведения об участии члена СРО в рассмотрении судебных гражданско-правовых споров связанных с проектной деятельностью.</w:t>
      </w:r>
    </w:p>
    <w:p w:rsidR="00DA0086" w:rsidRPr="00D0120C" w:rsidRDefault="00DA0086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>иные данные, которые целесообразно исследовать в целях, определенных Положением.</w:t>
      </w:r>
    </w:p>
    <w:p w:rsidR="001E2507" w:rsidRPr="00D0120C" w:rsidRDefault="003E5612" w:rsidP="00E73259">
      <w:pPr>
        <w:pStyle w:val="a7"/>
        <w:numPr>
          <w:ilvl w:val="1"/>
          <w:numId w:val="1"/>
        </w:numPr>
        <w:spacing w:line="360" w:lineRule="auto"/>
      </w:pPr>
      <w:r w:rsidRPr="00D0120C">
        <w:t>По результатам анализа деятельности</w:t>
      </w:r>
      <w:r w:rsidR="00BA34D0" w:rsidRPr="00D0120C">
        <w:t xml:space="preserve"> СРО</w:t>
      </w:r>
      <w:r w:rsidRPr="00D0120C">
        <w:t xml:space="preserve"> </w:t>
      </w:r>
      <w:r w:rsidR="00437F8D" w:rsidRPr="00D0120C">
        <w:t>не позднее даты окончания второго</w:t>
      </w:r>
      <w:r w:rsidR="00BA34D0" w:rsidRPr="00D0120C">
        <w:t xml:space="preserve"> </w:t>
      </w:r>
      <w:r w:rsidR="00437F8D" w:rsidRPr="00D0120C">
        <w:t>календарного квартала года, следующего за отчетным,</w:t>
      </w:r>
      <w:r w:rsidRPr="00D0120C">
        <w:t xml:space="preserve"> составляет отчет о результатах анализа деятельности</w:t>
      </w:r>
      <w:r w:rsidR="004A4F17" w:rsidRPr="00D0120C">
        <w:t>.</w:t>
      </w:r>
    </w:p>
    <w:p w:rsidR="003E5612" w:rsidRPr="00D0120C" w:rsidRDefault="003E5612" w:rsidP="00E73259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Отчет о результатах анализа деятельности содержит обобщенную информацию о деятельности </w:t>
      </w:r>
      <w:r w:rsidR="00CA10F4" w:rsidRPr="00D0120C">
        <w:t>членов</w:t>
      </w:r>
      <w:r w:rsidR="00BA34D0" w:rsidRPr="00D0120C">
        <w:t xml:space="preserve"> СРО</w:t>
      </w:r>
      <w:r w:rsidRPr="00D0120C">
        <w:t>, полученную в соотве</w:t>
      </w:r>
      <w:r w:rsidR="00633746" w:rsidRPr="00D0120C">
        <w:t>тствии с примененной методологией</w:t>
      </w:r>
      <w:r w:rsidR="00412EA5" w:rsidRPr="00D0120C">
        <w:t xml:space="preserve">, </w:t>
      </w:r>
      <w:r w:rsidR="00792F96" w:rsidRPr="00D0120C">
        <w:t xml:space="preserve">которая может представляться </w:t>
      </w:r>
      <w:r w:rsidR="00412EA5" w:rsidRPr="00D0120C">
        <w:t>в виде текстовых и числовых данных, а также в виде графического отображения полученной информации</w:t>
      </w:r>
      <w:r w:rsidRPr="00D0120C">
        <w:t>.</w:t>
      </w:r>
    </w:p>
    <w:p w:rsidR="003E5612" w:rsidRPr="00D0120C" w:rsidRDefault="003E5612" w:rsidP="00E73259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Отчет о результатах анализа деятельности может содержать выводы, рекомендации и прогнозы в области деятельности </w:t>
      </w:r>
      <w:r w:rsidR="00BA34D0" w:rsidRPr="00D0120C">
        <w:t xml:space="preserve">СРО </w:t>
      </w:r>
      <w:r w:rsidRPr="00D0120C">
        <w:t xml:space="preserve">и </w:t>
      </w:r>
      <w:r w:rsidR="00BA34D0" w:rsidRPr="00D0120C">
        <w:t xml:space="preserve">её </w:t>
      </w:r>
      <w:r w:rsidR="00CA10F4" w:rsidRPr="00D0120C">
        <w:t>членов</w:t>
      </w:r>
      <w:r w:rsidRPr="00D0120C">
        <w:t>.</w:t>
      </w:r>
    </w:p>
    <w:p w:rsidR="00633746" w:rsidRPr="00D0120C" w:rsidRDefault="00633746" w:rsidP="00E73259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Отчет о результатах анализа деятельности подписывается исполнительным органом </w:t>
      </w:r>
      <w:r w:rsidR="00BA34D0" w:rsidRPr="00D0120C">
        <w:t>СРО</w:t>
      </w:r>
      <w:r w:rsidRPr="00D0120C">
        <w:t>.</w:t>
      </w:r>
    </w:p>
    <w:p w:rsidR="003E5612" w:rsidRPr="00D0120C" w:rsidRDefault="003E5612" w:rsidP="00E73259">
      <w:pPr>
        <w:pStyle w:val="a7"/>
        <w:numPr>
          <w:ilvl w:val="1"/>
          <w:numId w:val="1"/>
        </w:numPr>
        <w:spacing w:line="360" w:lineRule="auto"/>
      </w:pPr>
      <w:r w:rsidRPr="00D0120C">
        <w:t>Отчет о р</w:t>
      </w:r>
      <w:r w:rsidR="00633746" w:rsidRPr="00D0120C">
        <w:t xml:space="preserve">езультатах анализа деятельности </w:t>
      </w:r>
      <w:r w:rsidRPr="00D0120C">
        <w:t xml:space="preserve">доводится до всеобщего сведения посредством его публикации на сайте </w:t>
      </w:r>
      <w:r w:rsidR="00BA34D0" w:rsidRPr="00D0120C">
        <w:t xml:space="preserve">СРО </w:t>
      </w:r>
      <w:r w:rsidRPr="00D0120C">
        <w:t>в сети «Интернет»</w:t>
      </w:r>
      <w:r w:rsidR="00633746" w:rsidRPr="00D0120C">
        <w:t xml:space="preserve">, а также представляется в постоянно действующий коллегиальный орган управления </w:t>
      </w:r>
      <w:r w:rsidR="00BA34D0" w:rsidRPr="00D0120C">
        <w:t>СРО</w:t>
      </w:r>
      <w:r w:rsidR="002D2E81" w:rsidRPr="00D0120C">
        <w:t>.</w:t>
      </w:r>
    </w:p>
    <w:p w:rsidR="002D2E81" w:rsidRPr="00D0120C" w:rsidRDefault="002D2E81" w:rsidP="002D2E81">
      <w:pPr>
        <w:pStyle w:val="a7"/>
        <w:spacing w:line="360" w:lineRule="auto"/>
        <w:ind w:left="0" w:firstLine="0"/>
      </w:pPr>
    </w:p>
    <w:p w:rsidR="002D2E81" w:rsidRPr="00D0120C" w:rsidRDefault="00BA34D0" w:rsidP="003009C7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jc w:val="center"/>
        <w:rPr>
          <w:b/>
        </w:rPr>
      </w:pPr>
      <w:r w:rsidRPr="00D0120C">
        <w:rPr>
          <w:b/>
        </w:rPr>
        <w:t xml:space="preserve">Порядок </w:t>
      </w:r>
      <w:r w:rsidR="002D2E81" w:rsidRPr="00D0120C">
        <w:rPr>
          <w:b/>
        </w:rPr>
        <w:t xml:space="preserve">уведомления о фактическом совокупном размере обязательств по договорам подряда на подготовку проектной документации, </w:t>
      </w:r>
      <w:r w:rsidR="00196F55" w:rsidRPr="00D0120C">
        <w:rPr>
          <w:b/>
        </w:rPr>
        <w:t>заключённым</w:t>
      </w:r>
      <w:r w:rsidR="002D2E81" w:rsidRPr="00D0120C">
        <w:rPr>
          <w:b/>
        </w:rPr>
        <w:t xml:space="preserve"> в течение </w:t>
      </w:r>
      <w:r w:rsidR="00196F55" w:rsidRPr="00D0120C">
        <w:rPr>
          <w:b/>
        </w:rPr>
        <w:t>отчётного</w:t>
      </w:r>
      <w:r w:rsidR="002D2E81" w:rsidRPr="00D0120C">
        <w:rPr>
          <w:b/>
        </w:rPr>
        <w:t xml:space="preserve"> года с использованием конкурентных способов заключения договоров</w:t>
      </w:r>
    </w:p>
    <w:p w:rsidR="00D0120C" w:rsidRPr="00D0120C" w:rsidRDefault="00D0120C" w:rsidP="00D0120C">
      <w:pPr>
        <w:pStyle w:val="a7"/>
        <w:tabs>
          <w:tab w:val="left" w:pos="426"/>
        </w:tabs>
        <w:spacing w:line="360" w:lineRule="auto"/>
        <w:ind w:left="0" w:firstLine="0"/>
        <w:rPr>
          <w:b/>
        </w:rPr>
      </w:pPr>
    </w:p>
    <w:p w:rsidR="003009C7" w:rsidRPr="00D0120C" w:rsidRDefault="00D0120C" w:rsidP="00D0120C">
      <w:pPr>
        <w:pStyle w:val="a7"/>
        <w:numPr>
          <w:ilvl w:val="1"/>
          <w:numId w:val="1"/>
        </w:numPr>
        <w:spacing w:line="360" w:lineRule="auto"/>
      </w:pPr>
      <w:r w:rsidRPr="00D0120C">
        <w:t>Порядок уведомления о фактическом совокупном размере обязательств определяется в соответствии с</w:t>
      </w:r>
      <w:r w:rsidR="00196F55" w:rsidRPr="00D0120C">
        <w:t xml:space="preserve"> приказом Минстроя России от 10.04.2017г. №700/пр.</w:t>
      </w:r>
    </w:p>
    <w:p w:rsidR="00A26995" w:rsidRPr="00D0120C" w:rsidRDefault="00C20447" w:rsidP="00D0120C">
      <w:pPr>
        <w:pStyle w:val="a7"/>
        <w:numPr>
          <w:ilvl w:val="1"/>
          <w:numId w:val="1"/>
        </w:numPr>
        <w:spacing w:line="360" w:lineRule="auto"/>
      </w:pPr>
      <w:r w:rsidRPr="00D0120C">
        <w:lastRenderedPageBreak/>
        <w:t xml:space="preserve">Уведомления о фактическом совокупном размере обязательств по договорам подряда на подготовку проектной документации, заключённым в течение отчётного года с использованием конкурентных способов заключения договоров (далее – Уведомление) </w:t>
      </w:r>
      <w:r w:rsidR="00BA34D0" w:rsidRPr="00D0120C">
        <w:t>входит в со</w:t>
      </w:r>
      <w:r w:rsidR="001F4EC1" w:rsidRPr="00D0120C">
        <w:t>ст</w:t>
      </w:r>
      <w:r w:rsidR="00BA34D0" w:rsidRPr="00D0120C">
        <w:t xml:space="preserve">ав </w:t>
      </w:r>
      <w:r w:rsidRPr="00D0120C">
        <w:t>Отчёта</w:t>
      </w:r>
      <w:r w:rsidR="001F4EC1" w:rsidRPr="00D0120C">
        <w:t>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Члены Ассоциации обязаны направлять в Ассоциацию уведомление о фактическом совокупном размере обязательств по договорам подряда на подготовку проектной документации, заключенным членом Ассоциации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</w:r>
      <w:r w:rsidR="001F4EC1" w:rsidRPr="00D0120C">
        <w:t>является обязательным.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t>Указанное в п. 5.1. Положения уведомление направляется ежегодно не позднее 1 марта года, следующего за отчетным. Уведомление направляется членами Ассоциации, выполняющими работы по договорам, заключенным с применением конкурентных способов.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t>Указанное в п. 5.1. Положения уведомление должно содержать: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>сведения о являющемся членом Ассоциации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Ассоциации)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Ассоциации);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>сведения о фактическом совокупном размере обязательств по договорам по состоянию на 1 января отчетного года;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>сведения о фактическом совокупном размере обязательств по договорам, которые были заключены членом Ассоциации организации в течение отчетного года;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lastRenderedPageBreak/>
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t>К указанному в п. 5.1. Положения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>совокупный размер обязательств по договорам, которые были заключены членом Ассоциации в течение отчетного года;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>совокупный размер обязательств по договорам, которые были прекращены в течение отчетного года;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>совокупный размер обязательств по всем договорам, которые заключены членом Ассоциации и исполнение которых на 31 декабря отчетного года не завершено.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t>В целях анализа и контроля учитываются обязательства по договорам в рамках: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указанного Федерального закона;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>Федерального закона от 18 июля 2011 г. № 223-ФЗ «О закупках товаров, работ, услуг отдельными видами юридических лиц»;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>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t>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 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lastRenderedPageBreak/>
        <w:t>Ассоциация на основании сведений, полученных из указанных в п. 5.1. Положения уведомлений и приложенных к нему документов, на основании информации, размещенной в форме открытых данных, и иной законно полученной информации проводит проверку соответствия фактического совокупного размера обязательств по договорам подряда на подготовку проектной документации,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Ассоциации. Проверка проводится в соответствии с законодательством Российской Федерации о градостроительной деятельности, о саморегулируемых организациях и внутренним документом Ассоциации, регламентирующими контроль Ассоциации за деятельностью своих членов.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t>Выявление в ходе проверки нарушений законодательства о градостроительной деятельности или требований внутренних документов Ассоциации влечет последствия, предусмотренные законодательством Российской Федерации и применимыми внутренними документами Ассоциации.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t>Член Ассоциации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633746" w:rsidRPr="00D0120C" w:rsidRDefault="00633746" w:rsidP="00633746">
      <w:pPr>
        <w:pStyle w:val="a7"/>
        <w:spacing w:line="360" w:lineRule="auto"/>
        <w:ind w:left="0" w:firstLine="0"/>
      </w:pPr>
    </w:p>
    <w:p w:rsidR="003E5612" w:rsidRPr="00D0120C" w:rsidRDefault="00633746" w:rsidP="00633746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</w:rPr>
      </w:pPr>
      <w:r w:rsidRPr="00D0120C">
        <w:rPr>
          <w:b/>
        </w:rPr>
        <w:t>Заключительные положения</w:t>
      </w:r>
    </w:p>
    <w:p w:rsidR="00633746" w:rsidRPr="00D0120C" w:rsidRDefault="00633746" w:rsidP="00633746">
      <w:pPr>
        <w:pStyle w:val="a7"/>
        <w:spacing w:line="360" w:lineRule="auto"/>
        <w:ind w:left="0" w:firstLine="0"/>
      </w:pPr>
    </w:p>
    <w:p w:rsidR="00633746" w:rsidRPr="005A3A01" w:rsidRDefault="00633746" w:rsidP="001C7C7B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</w:pPr>
      <w:r w:rsidRPr="005A3A01">
        <w:t xml:space="preserve">В случае изменения наименования и организационно-правовой формы </w:t>
      </w:r>
      <w:r w:rsidR="004C6489" w:rsidRPr="005A3A01">
        <w:t>Ассоциации</w:t>
      </w:r>
      <w:r w:rsidRPr="005A3A01">
        <w:t xml:space="preserve"> Положение сохраняет свою силу и применяется в полном объеме.</w:t>
      </w:r>
    </w:p>
    <w:p w:rsidR="00F87528" w:rsidRPr="005A3A01" w:rsidRDefault="00F87528" w:rsidP="00F8752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</w:pPr>
      <w:r w:rsidRPr="005A3A01"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p w:rsidR="005A3A01" w:rsidRPr="005A3A01" w:rsidRDefault="005A3A01" w:rsidP="005A3A01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highlight w:val="yellow"/>
        </w:rPr>
      </w:pPr>
      <w:r w:rsidRPr="005A3A01">
        <w:rPr>
          <w:highlight w:val="yellow"/>
        </w:rPr>
        <w:t>Положение, изменения к нему, решение о признании Положения утратившим силу вступают в силу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Федерации, если более поздний срок не установлен решением общего собрания членов Ассоциации.</w:t>
      </w:r>
    </w:p>
    <w:sectPr w:rsidR="005A3A01" w:rsidRPr="005A3A01" w:rsidSect="002D2E81">
      <w:headerReference w:type="first" r:id="rId9"/>
      <w:pgSz w:w="11906" w:h="16838"/>
      <w:pgMar w:top="709" w:right="850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25" w:rsidRDefault="00A56A25" w:rsidP="00E54903">
      <w:r>
        <w:separator/>
      </w:r>
    </w:p>
    <w:p w:rsidR="00A56A25" w:rsidRDefault="00A56A25" w:rsidP="00E54903"/>
  </w:endnote>
  <w:endnote w:type="continuationSeparator" w:id="0">
    <w:p w:rsidR="00A56A25" w:rsidRDefault="00A56A25" w:rsidP="00E54903">
      <w:r>
        <w:continuationSeparator/>
      </w:r>
    </w:p>
    <w:p w:rsidR="00A56A25" w:rsidRDefault="00A56A25" w:rsidP="00E5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3862"/>
      <w:docPartObj>
        <w:docPartGallery w:val="Page Numbers (Bottom of Page)"/>
        <w:docPartUnique/>
      </w:docPartObj>
    </w:sdtPr>
    <w:sdtEndPr/>
    <w:sdtContent>
      <w:p w:rsidR="00792F96" w:rsidRDefault="00792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DC1">
          <w:rPr>
            <w:noProof/>
          </w:rPr>
          <w:t>4</w:t>
        </w:r>
        <w:r>
          <w:fldChar w:fldCharType="end"/>
        </w:r>
      </w:p>
    </w:sdtContent>
  </w:sdt>
  <w:p w:rsidR="00792F96" w:rsidRDefault="00792F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25" w:rsidRDefault="00A56A25" w:rsidP="00E54903">
      <w:r>
        <w:separator/>
      </w:r>
    </w:p>
    <w:p w:rsidR="00A56A25" w:rsidRDefault="00A56A25" w:rsidP="00E54903"/>
  </w:footnote>
  <w:footnote w:type="continuationSeparator" w:id="0">
    <w:p w:rsidR="00A56A25" w:rsidRDefault="00A56A25" w:rsidP="00E54903">
      <w:r>
        <w:continuationSeparator/>
      </w:r>
    </w:p>
    <w:p w:rsidR="00A56A25" w:rsidRDefault="00A56A25" w:rsidP="00E54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328"/>
    <w:multiLevelType w:val="multilevel"/>
    <w:tmpl w:val="2A8CA4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0EA22C0"/>
    <w:multiLevelType w:val="multilevel"/>
    <w:tmpl w:val="EB7A2E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053824"/>
    <w:multiLevelType w:val="hybridMultilevel"/>
    <w:tmpl w:val="1428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4270"/>
    <w:multiLevelType w:val="multilevel"/>
    <w:tmpl w:val="00A2C3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‒"/>
      <w:lvlJc w:val="left"/>
      <w:pPr>
        <w:ind w:left="1021" w:hanging="45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06E6B60"/>
    <w:multiLevelType w:val="hybridMultilevel"/>
    <w:tmpl w:val="2726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93C68"/>
    <w:multiLevelType w:val="hybridMultilevel"/>
    <w:tmpl w:val="4458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61ED4"/>
    <w:multiLevelType w:val="multilevel"/>
    <w:tmpl w:val="2A8CA4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7D824CA"/>
    <w:multiLevelType w:val="hybridMultilevel"/>
    <w:tmpl w:val="FFDA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12D47"/>
    <w:rsid w:val="00022E93"/>
    <w:rsid w:val="00033458"/>
    <w:rsid w:val="00045151"/>
    <w:rsid w:val="0005618C"/>
    <w:rsid w:val="00060636"/>
    <w:rsid w:val="00093596"/>
    <w:rsid w:val="000A2BF1"/>
    <w:rsid w:val="000A5B26"/>
    <w:rsid w:val="000C02A5"/>
    <w:rsid w:val="000C1598"/>
    <w:rsid w:val="000C3303"/>
    <w:rsid w:val="000C52A5"/>
    <w:rsid w:val="000D04AE"/>
    <w:rsid w:val="000E1437"/>
    <w:rsid w:val="00125075"/>
    <w:rsid w:val="001279B9"/>
    <w:rsid w:val="001866A0"/>
    <w:rsid w:val="00186DC1"/>
    <w:rsid w:val="00196F55"/>
    <w:rsid w:val="001C455A"/>
    <w:rsid w:val="001C7C7B"/>
    <w:rsid w:val="001D0F2C"/>
    <w:rsid w:val="001E05F8"/>
    <w:rsid w:val="001E2507"/>
    <w:rsid w:val="001F1CFE"/>
    <w:rsid w:val="001F4EC1"/>
    <w:rsid w:val="0020684C"/>
    <w:rsid w:val="00233F92"/>
    <w:rsid w:val="00283E41"/>
    <w:rsid w:val="00284B49"/>
    <w:rsid w:val="00295335"/>
    <w:rsid w:val="00296D9C"/>
    <w:rsid w:val="002C44EB"/>
    <w:rsid w:val="002D2E81"/>
    <w:rsid w:val="002F12B1"/>
    <w:rsid w:val="002F5FF5"/>
    <w:rsid w:val="002F6026"/>
    <w:rsid w:val="002F76C4"/>
    <w:rsid w:val="003009C7"/>
    <w:rsid w:val="0032005E"/>
    <w:rsid w:val="00336226"/>
    <w:rsid w:val="003366A6"/>
    <w:rsid w:val="00350CB3"/>
    <w:rsid w:val="00351688"/>
    <w:rsid w:val="0036360B"/>
    <w:rsid w:val="003733CE"/>
    <w:rsid w:val="003C5577"/>
    <w:rsid w:val="003D3911"/>
    <w:rsid w:val="003D5381"/>
    <w:rsid w:val="003E5612"/>
    <w:rsid w:val="00412EA5"/>
    <w:rsid w:val="00415490"/>
    <w:rsid w:val="00437F8D"/>
    <w:rsid w:val="00452C8D"/>
    <w:rsid w:val="00471D54"/>
    <w:rsid w:val="0047236A"/>
    <w:rsid w:val="004728E0"/>
    <w:rsid w:val="00496B0F"/>
    <w:rsid w:val="004A4F17"/>
    <w:rsid w:val="004B230C"/>
    <w:rsid w:val="004C1B18"/>
    <w:rsid w:val="004C6489"/>
    <w:rsid w:val="004F671E"/>
    <w:rsid w:val="00501316"/>
    <w:rsid w:val="00507237"/>
    <w:rsid w:val="00525C2C"/>
    <w:rsid w:val="00534318"/>
    <w:rsid w:val="005437B4"/>
    <w:rsid w:val="00544944"/>
    <w:rsid w:val="00546FFF"/>
    <w:rsid w:val="00553ABF"/>
    <w:rsid w:val="00562E08"/>
    <w:rsid w:val="00566127"/>
    <w:rsid w:val="00566A14"/>
    <w:rsid w:val="005953EF"/>
    <w:rsid w:val="005A0447"/>
    <w:rsid w:val="005A3A01"/>
    <w:rsid w:val="005B5F80"/>
    <w:rsid w:val="005C2DE0"/>
    <w:rsid w:val="005D724F"/>
    <w:rsid w:val="005F4499"/>
    <w:rsid w:val="005F5EDC"/>
    <w:rsid w:val="00626BD5"/>
    <w:rsid w:val="00633746"/>
    <w:rsid w:val="00644060"/>
    <w:rsid w:val="006532B4"/>
    <w:rsid w:val="00654512"/>
    <w:rsid w:val="00656663"/>
    <w:rsid w:val="0066048D"/>
    <w:rsid w:val="00661303"/>
    <w:rsid w:val="00664941"/>
    <w:rsid w:val="00665739"/>
    <w:rsid w:val="00675D24"/>
    <w:rsid w:val="006A0506"/>
    <w:rsid w:val="006B663B"/>
    <w:rsid w:val="006F7036"/>
    <w:rsid w:val="007019C2"/>
    <w:rsid w:val="0071241F"/>
    <w:rsid w:val="00714E55"/>
    <w:rsid w:val="0071688B"/>
    <w:rsid w:val="007242CD"/>
    <w:rsid w:val="00735751"/>
    <w:rsid w:val="00772DF9"/>
    <w:rsid w:val="0077333C"/>
    <w:rsid w:val="007864B4"/>
    <w:rsid w:val="00786DAC"/>
    <w:rsid w:val="00790BA9"/>
    <w:rsid w:val="00792F96"/>
    <w:rsid w:val="00796D66"/>
    <w:rsid w:val="007A1D51"/>
    <w:rsid w:val="007B1300"/>
    <w:rsid w:val="007F09E1"/>
    <w:rsid w:val="008245F0"/>
    <w:rsid w:val="008A6DC9"/>
    <w:rsid w:val="0090756A"/>
    <w:rsid w:val="00924518"/>
    <w:rsid w:val="009377FB"/>
    <w:rsid w:val="009502BF"/>
    <w:rsid w:val="00956D11"/>
    <w:rsid w:val="00974856"/>
    <w:rsid w:val="009919D1"/>
    <w:rsid w:val="009C4686"/>
    <w:rsid w:val="009E4922"/>
    <w:rsid w:val="009F571A"/>
    <w:rsid w:val="00A0457F"/>
    <w:rsid w:val="00A2303C"/>
    <w:rsid w:val="00A26995"/>
    <w:rsid w:val="00A31D17"/>
    <w:rsid w:val="00A46B60"/>
    <w:rsid w:val="00A56A25"/>
    <w:rsid w:val="00A60E75"/>
    <w:rsid w:val="00A6197F"/>
    <w:rsid w:val="00A642C5"/>
    <w:rsid w:val="00A72BAC"/>
    <w:rsid w:val="00AA0248"/>
    <w:rsid w:val="00AC26FA"/>
    <w:rsid w:val="00B002DA"/>
    <w:rsid w:val="00B128E7"/>
    <w:rsid w:val="00B23614"/>
    <w:rsid w:val="00B337FA"/>
    <w:rsid w:val="00B50559"/>
    <w:rsid w:val="00B64441"/>
    <w:rsid w:val="00B73B5A"/>
    <w:rsid w:val="00B93862"/>
    <w:rsid w:val="00BA089C"/>
    <w:rsid w:val="00BA16A9"/>
    <w:rsid w:val="00BA3473"/>
    <w:rsid w:val="00BA34D0"/>
    <w:rsid w:val="00BA3F03"/>
    <w:rsid w:val="00BA3F50"/>
    <w:rsid w:val="00BA6E5E"/>
    <w:rsid w:val="00BB20A0"/>
    <w:rsid w:val="00BD2BE5"/>
    <w:rsid w:val="00BD6CFE"/>
    <w:rsid w:val="00BE7DD9"/>
    <w:rsid w:val="00BF2917"/>
    <w:rsid w:val="00BF3088"/>
    <w:rsid w:val="00BF7195"/>
    <w:rsid w:val="00C056F2"/>
    <w:rsid w:val="00C1529C"/>
    <w:rsid w:val="00C1730C"/>
    <w:rsid w:val="00C17D75"/>
    <w:rsid w:val="00C20447"/>
    <w:rsid w:val="00C21204"/>
    <w:rsid w:val="00C25A10"/>
    <w:rsid w:val="00C63D37"/>
    <w:rsid w:val="00C66739"/>
    <w:rsid w:val="00C675A9"/>
    <w:rsid w:val="00C80D95"/>
    <w:rsid w:val="00C82B17"/>
    <w:rsid w:val="00C8436B"/>
    <w:rsid w:val="00C84761"/>
    <w:rsid w:val="00CA10F4"/>
    <w:rsid w:val="00CA3DFA"/>
    <w:rsid w:val="00CA518A"/>
    <w:rsid w:val="00CB3EA5"/>
    <w:rsid w:val="00CC023E"/>
    <w:rsid w:val="00CE54AE"/>
    <w:rsid w:val="00CE7329"/>
    <w:rsid w:val="00D0120C"/>
    <w:rsid w:val="00D24FE6"/>
    <w:rsid w:val="00D3657C"/>
    <w:rsid w:val="00D8287E"/>
    <w:rsid w:val="00D83BDA"/>
    <w:rsid w:val="00DA0086"/>
    <w:rsid w:val="00DA1305"/>
    <w:rsid w:val="00DA4476"/>
    <w:rsid w:val="00DB3916"/>
    <w:rsid w:val="00DC1F74"/>
    <w:rsid w:val="00DE30E9"/>
    <w:rsid w:val="00E21625"/>
    <w:rsid w:val="00E2796E"/>
    <w:rsid w:val="00E33F6C"/>
    <w:rsid w:val="00E434A8"/>
    <w:rsid w:val="00E44FE6"/>
    <w:rsid w:val="00E54903"/>
    <w:rsid w:val="00E56114"/>
    <w:rsid w:val="00E73259"/>
    <w:rsid w:val="00E95867"/>
    <w:rsid w:val="00EB08EC"/>
    <w:rsid w:val="00EB4F6D"/>
    <w:rsid w:val="00ED3546"/>
    <w:rsid w:val="00ED42B3"/>
    <w:rsid w:val="00EE3D91"/>
    <w:rsid w:val="00EF02D3"/>
    <w:rsid w:val="00EF2F4B"/>
    <w:rsid w:val="00EF6116"/>
    <w:rsid w:val="00F10AE3"/>
    <w:rsid w:val="00F2188C"/>
    <w:rsid w:val="00F25CE5"/>
    <w:rsid w:val="00F368F1"/>
    <w:rsid w:val="00F63C40"/>
    <w:rsid w:val="00F6401A"/>
    <w:rsid w:val="00F83C3E"/>
    <w:rsid w:val="00F86B47"/>
    <w:rsid w:val="00F87528"/>
    <w:rsid w:val="00FD7B09"/>
    <w:rsid w:val="00FE7BF6"/>
    <w:rsid w:val="00FF3E0E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03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A2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03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A2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Ходус</cp:lastModifiedBy>
  <cp:revision>5</cp:revision>
  <dcterms:created xsi:type="dcterms:W3CDTF">2019-03-19T10:55:00Z</dcterms:created>
  <dcterms:modified xsi:type="dcterms:W3CDTF">2019-03-20T12:11:00Z</dcterms:modified>
</cp:coreProperties>
</file>